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8B10F" w14:textId="77777777" w:rsidR="00C05C9D" w:rsidRDefault="00C05C9D">
      <w:pPr>
        <w:jc w:val="center"/>
      </w:pPr>
    </w:p>
    <w:p w14:paraId="66ED53A1" w14:textId="77777777" w:rsidR="00C05C9D" w:rsidRDefault="00C05C9D">
      <w:pPr>
        <w:jc w:val="center"/>
      </w:pPr>
    </w:p>
    <w:p w14:paraId="39AE36C2" w14:textId="77777777" w:rsidR="00C05C9D" w:rsidRDefault="00C05C9D">
      <w:pPr>
        <w:jc w:val="center"/>
      </w:pPr>
    </w:p>
    <w:p w14:paraId="6B778033" w14:textId="77777777" w:rsidR="00C05C9D" w:rsidRDefault="00C05C9D">
      <w:pPr>
        <w:jc w:val="center"/>
      </w:pPr>
    </w:p>
    <w:p w14:paraId="627E088E" w14:textId="77777777" w:rsidR="00C05C9D" w:rsidRDefault="00C05C9D">
      <w:pPr>
        <w:jc w:val="center"/>
      </w:pPr>
    </w:p>
    <w:p w14:paraId="181B1C4F" w14:textId="77777777" w:rsidR="00C05C9D" w:rsidRDefault="00C05C9D">
      <w:pPr>
        <w:jc w:val="center"/>
      </w:pPr>
    </w:p>
    <w:p w14:paraId="6319CBAD" w14:textId="77777777" w:rsidR="00C05C9D" w:rsidRDefault="00C05C9D">
      <w:pPr>
        <w:jc w:val="center"/>
      </w:pPr>
    </w:p>
    <w:p w14:paraId="6FA7A8E6" w14:textId="77777777" w:rsidR="00C05C9D" w:rsidRDefault="00C05C9D">
      <w:pPr>
        <w:jc w:val="center"/>
      </w:pPr>
    </w:p>
    <w:p w14:paraId="0E0785D4" w14:textId="77777777" w:rsidR="00C05C9D" w:rsidRDefault="00C05C9D">
      <w:pPr>
        <w:jc w:val="center"/>
      </w:pPr>
    </w:p>
    <w:p w14:paraId="51A5DCAC" w14:textId="77777777" w:rsidR="00C05C9D" w:rsidRDefault="00C05C9D">
      <w:pPr>
        <w:jc w:val="center"/>
      </w:pPr>
    </w:p>
    <w:p w14:paraId="630F9756" w14:textId="77777777" w:rsidR="00C05C9D" w:rsidRPr="00310FE0" w:rsidRDefault="00C05C9D" w:rsidP="00C05C9D">
      <w:pPr>
        <w:jc w:val="center"/>
        <w:outlineLvl w:val="0"/>
        <w:rPr>
          <w:sz w:val="36"/>
        </w:rPr>
      </w:pPr>
      <w:r w:rsidRPr="00310FE0">
        <w:rPr>
          <w:sz w:val="36"/>
        </w:rPr>
        <w:t>INSTALACIONES ELÉCTRICAS ESPECIALES</w:t>
      </w:r>
    </w:p>
    <w:p w14:paraId="682DAAD0" w14:textId="77777777" w:rsidR="00C05C9D" w:rsidRPr="00D67566" w:rsidRDefault="00C05C9D" w:rsidP="00C05C9D">
      <w:pPr>
        <w:jc w:val="center"/>
        <w:outlineLvl w:val="0"/>
        <w:rPr>
          <w:sz w:val="28"/>
        </w:rPr>
      </w:pPr>
      <w:r w:rsidRPr="00D67566">
        <w:rPr>
          <w:sz w:val="28"/>
        </w:rPr>
        <w:t>ASIGNATURA OPTATIVA DE 4º CURSO DEL GRADO</w:t>
      </w:r>
      <w:r w:rsidRPr="00D67566">
        <w:rPr>
          <w:sz w:val="28"/>
        </w:rPr>
        <w:br/>
        <w:t>EN INGENIERÍA ELÉCTRICA</w:t>
      </w:r>
    </w:p>
    <w:p w14:paraId="3AFECEF8" w14:textId="77777777" w:rsidR="00C05C9D" w:rsidRDefault="00C05C9D" w:rsidP="00C05C9D">
      <w:pPr>
        <w:jc w:val="center"/>
        <w:rPr>
          <w:sz w:val="28"/>
        </w:rPr>
      </w:pPr>
    </w:p>
    <w:p w14:paraId="5C56DF07" w14:textId="77777777" w:rsidR="00C05C9D" w:rsidRDefault="00C05C9D" w:rsidP="00C05C9D">
      <w:pPr>
        <w:jc w:val="center"/>
        <w:rPr>
          <w:sz w:val="28"/>
        </w:rPr>
      </w:pPr>
    </w:p>
    <w:p w14:paraId="0BB6EEB5" w14:textId="77777777" w:rsidR="00C05C9D" w:rsidRDefault="00C05C9D" w:rsidP="00C05C9D">
      <w:pPr>
        <w:jc w:val="center"/>
        <w:rPr>
          <w:sz w:val="28"/>
        </w:rPr>
      </w:pPr>
      <w:r>
        <w:rPr>
          <w:sz w:val="28"/>
        </w:rPr>
        <w:t>TEMA 2</w:t>
      </w:r>
      <w:r>
        <w:rPr>
          <w:sz w:val="28"/>
        </w:rPr>
        <w:br/>
        <w:t>Instalaciones eléctricas generales</w:t>
      </w:r>
    </w:p>
    <w:p w14:paraId="03F03D18" w14:textId="77777777" w:rsidR="00C05C9D" w:rsidRPr="00763B14" w:rsidRDefault="00C05C9D" w:rsidP="00C05C9D">
      <w:pPr>
        <w:jc w:val="center"/>
      </w:pPr>
    </w:p>
    <w:p w14:paraId="3264830F" w14:textId="77777777" w:rsidR="00C05C9D" w:rsidRPr="00310FE0" w:rsidRDefault="00C05C9D" w:rsidP="00C05C9D">
      <w:pPr>
        <w:jc w:val="center"/>
      </w:pPr>
    </w:p>
    <w:p w14:paraId="550498E9" w14:textId="77777777" w:rsidR="00C05C9D" w:rsidRPr="00310FE0" w:rsidRDefault="00C05C9D" w:rsidP="00C05C9D">
      <w:pPr>
        <w:jc w:val="center"/>
      </w:pPr>
    </w:p>
    <w:p w14:paraId="2C6B00E8" w14:textId="77777777" w:rsidR="00C05C9D" w:rsidRDefault="00C05C9D" w:rsidP="00C05C9D">
      <w:pPr>
        <w:jc w:val="center"/>
      </w:pPr>
      <w:r>
        <w:t>APUNTES Y MATERIALES PARA SEGUIR LA ASIGNATURA</w:t>
      </w:r>
      <w:r>
        <w:br/>
      </w:r>
    </w:p>
    <w:p w14:paraId="200E8B17" w14:textId="77777777" w:rsidR="00C05C9D" w:rsidRDefault="00C05C9D" w:rsidP="00C05C9D">
      <w:pPr>
        <w:jc w:val="center"/>
      </w:pPr>
    </w:p>
    <w:p w14:paraId="68FABDC8" w14:textId="298627D4" w:rsidR="00C05C9D" w:rsidRDefault="00C05C9D" w:rsidP="00C05C9D">
      <w:pPr>
        <w:jc w:val="center"/>
      </w:pPr>
      <w:r>
        <w:t>CURSO 202</w:t>
      </w:r>
      <w:r w:rsidR="006869CA">
        <w:t>1</w:t>
      </w:r>
      <w:r>
        <w:t>-2</w:t>
      </w:r>
      <w:r w:rsidR="006869CA">
        <w:t>2</w:t>
      </w:r>
    </w:p>
    <w:p w14:paraId="764F85FB" w14:textId="77777777" w:rsidR="00C05C9D" w:rsidRDefault="00C05C9D" w:rsidP="00C05C9D">
      <w:pPr>
        <w:jc w:val="center"/>
      </w:pPr>
    </w:p>
    <w:p w14:paraId="63D3F6B3" w14:textId="77777777" w:rsidR="00C05C9D" w:rsidRDefault="00C05C9D" w:rsidP="00C05C9D">
      <w:pPr>
        <w:jc w:val="center"/>
      </w:pPr>
    </w:p>
    <w:p w14:paraId="55AC2F6E" w14:textId="77777777" w:rsidR="00C05C9D" w:rsidRDefault="00C05C9D" w:rsidP="00C05C9D">
      <w:pPr>
        <w:jc w:val="center"/>
      </w:pPr>
    </w:p>
    <w:p w14:paraId="49A47936" w14:textId="77777777" w:rsidR="00C05C9D" w:rsidRDefault="00C05C9D" w:rsidP="00C05C9D">
      <w:pPr>
        <w:jc w:val="center"/>
      </w:pPr>
    </w:p>
    <w:p w14:paraId="45CAD5D2" w14:textId="77777777" w:rsidR="00C05C9D" w:rsidRDefault="00C05C9D" w:rsidP="00C05C9D">
      <w:pPr>
        <w:jc w:val="center"/>
      </w:pPr>
      <w:r>
        <w:t>Norberto Redondo Melchor</w:t>
      </w:r>
      <w:r>
        <w:br/>
      </w:r>
      <w:r w:rsidRPr="0028403D">
        <w:rPr>
          <w:sz w:val="18"/>
        </w:rPr>
        <w:t xml:space="preserve">Profesor </w:t>
      </w:r>
      <w:r>
        <w:rPr>
          <w:sz w:val="18"/>
        </w:rPr>
        <w:t>Ayudante</w:t>
      </w:r>
      <w:r w:rsidRPr="0028403D">
        <w:rPr>
          <w:sz w:val="18"/>
        </w:rPr>
        <w:br/>
        <w:t>Ingeniero Industrial</w:t>
      </w:r>
      <w:r w:rsidRPr="0028403D">
        <w:rPr>
          <w:sz w:val="18"/>
        </w:rPr>
        <w:br/>
        <w:t>Doctor por la Universidad de Salamanca</w:t>
      </w:r>
    </w:p>
    <w:p w14:paraId="1179C4E4" w14:textId="77777777" w:rsidR="00C05C9D" w:rsidRDefault="00C05C9D" w:rsidP="00C05C9D"/>
    <w:p w14:paraId="07830C03" w14:textId="77777777" w:rsidR="00C05C9D" w:rsidRDefault="00C05C9D" w:rsidP="00C05C9D"/>
    <w:p w14:paraId="497096DF" w14:textId="77777777" w:rsidR="00C05C9D" w:rsidRDefault="00C05C9D" w:rsidP="00C05C9D"/>
    <w:p w14:paraId="7F58C34C" w14:textId="77777777" w:rsidR="00C05C9D" w:rsidRPr="00737A5C" w:rsidRDefault="00C05C9D" w:rsidP="00C05C9D">
      <w:pPr>
        <w:jc w:val="right"/>
        <w:rPr>
          <w:b/>
        </w:rPr>
      </w:pPr>
      <w:r w:rsidRPr="00737A5C">
        <w:rPr>
          <w:b/>
        </w:rPr>
        <w:t>ÍNDICE</w:t>
      </w:r>
    </w:p>
    <w:p w14:paraId="0B493618" w14:textId="77777777" w:rsidR="00C05C9D" w:rsidRDefault="00C05C9D" w:rsidP="00C05C9D">
      <w:pPr>
        <w:jc w:val="right"/>
      </w:pPr>
    </w:p>
    <w:p w14:paraId="13D0BC4F" w14:textId="77777777" w:rsidR="006869CA" w:rsidRDefault="00C05C9D">
      <w:pPr>
        <w:pStyle w:val="TDC1"/>
        <w:rPr>
          <w:rFonts w:asciiTheme="minorHAnsi" w:eastAsiaTheme="minorEastAsia" w:hAnsiTheme="minorHAnsi" w:cstheme="minorBidi"/>
          <w:b w:val="0"/>
          <w:sz w:val="24"/>
          <w:szCs w:val="24"/>
          <w:lang w:val="es-ES" w:eastAsia="ja-JP"/>
        </w:rPr>
      </w:pPr>
      <w:r w:rsidRPr="00791F87">
        <w:rPr>
          <w:rFonts w:cs="TimesNewRomanPSMT"/>
          <w:szCs w:val="19"/>
          <w:lang w:bidi="es-ES_tradnl"/>
        </w:rPr>
        <w:fldChar w:fldCharType="begin"/>
      </w:r>
      <w:r w:rsidRPr="00791F87">
        <w:rPr>
          <w:rFonts w:cs="TimesNewRomanPSMT"/>
          <w:szCs w:val="19"/>
          <w:lang w:bidi="es-ES_tradnl"/>
        </w:rPr>
        <w:instrText xml:space="preserve"> </w:instrText>
      </w:r>
      <w:r>
        <w:rPr>
          <w:rFonts w:cs="TimesNewRomanPSMT"/>
          <w:szCs w:val="19"/>
          <w:lang w:bidi="es-ES_tradnl"/>
        </w:rPr>
        <w:instrText>TOC</w:instrText>
      </w:r>
      <w:r w:rsidRPr="00791F87">
        <w:rPr>
          <w:rFonts w:cs="TimesNewRomanPSMT"/>
          <w:szCs w:val="19"/>
          <w:lang w:bidi="es-ES_tradnl"/>
        </w:rPr>
        <w:instrText xml:space="preserve"> \o "1-3" </w:instrText>
      </w:r>
      <w:r w:rsidRPr="00791F87">
        <w:rPr>
          <w:rFonts w:cs="TimesNewRomanPSMT"/>
          <w:szCs w:val="19"/>
          <w:lang w:bidi="es-ES_tradnl"/>
        </w:rPr>
        <w:fldChar w:fldCharType="separate"/>
      </w:r>
      <w:r w:rsidR="006869CA" w:rsidRPr="004D61F9">
        <w:rPr>
          <w:rFonts w:cs="TimesNewRomanPSMT"/>
          <w:lang w:bidi="es-ES_tradnl"/>
        </w:rPr>
        <w:t>2. INSTALACIONES ELÉCTRICAS GENERALES</w:t>
      </w:r>
      <w:r w:rsidR="006869CA">
        <w:tab/>
      </w:r>
      <w:r w:rsidR="006869CA">
        <w:fldChar w:fldCharType="begin"/>
      </w:r>
      <w:r w:rsidR="006869CA">
        <w:instrText xml:space="preserve"> PAGEREF _Toc491543021 \h </w:instrText>
      </w:r>
      <w:r w:rsidR="006869CA">
        <w:fldChar w:fldCharType="separate"/>
      </w:r>
      <w:r w:rsidR="004E5E03">
        <w:t>24</w:t>
      </w:r>
      <w:r w:rsidR="006869CA">
        <w:fldChar w:fldCharType="end"/>
      </w:r>
    </w:p>
    <w:p w14:paraId="49D4CE88" w14:textId="77777777" w:rsidR="006869CA" w:rsidRDefault="006869CA">
      <w:pPr>
        <w:pStyle w:val="TDC1"/>
        <w:tabs>
          <w:tab w:val="left" w:pos="381"/>
        </w:tabs>
        <w:rPr>
          <w:rFonts w:asciiTheme="minorHAnsi" w:eastAsiaTheme="minorEastAsia" w:hAnsiTheme="minorHAnsi" w:cstheme="minorBidi"/>
          <w:b w:val="0"/>
          <w:sz w:val="24"/>
          <w:szCs w:val="24"/>
          <w:lang w:val="es-ES" w:eastAsia="ja-JP"/>
        </w:rPr>
      </w:pPr>
      <w:r w:rsidRPr="004D61F9">
        <w:rPr>
          <w:rFonts w:cs="Times-Roman"/>
          <w:lang w:bidi="es-ES_tradnl"/>
        </w:rPr>
        <w:t>1</w:t>
      </w:r>
      <w:r>
        <w:rPr>
          <w:rFonts w:asciiTheme="minorHAnsi" w:eastAsiaTheme="minorEastAsia" w:hAnsiTheme="minorHAnsi" w:cstheme="minorBidi"/>
          <w:b w:val="0"/>
          <w:sz w:val="24"/>
          <w:szCs w:val="24"/>
          <w:lang w:val="es-ES" w:eastAsia="ja-JP"/>
        </w:rPr>
        <w:tab/>
      </w:r>
      <w:r>
        <w:t xml:space="preserve">Nociones de redes de distribución en baja tensión. </w:t>
      </w:r>
      <w:r w:rsidRPr="004D61F9">
        <w:rPr>
          <w:rFonts w:cs="Times-Roman"/>
          <w:lang w:bidi="es-ES_tradnl"/>
        </w:rPr>
        <w:t>Acometidas eléctricas</w:t>
      </w:r>
      <w:r>
        <w:tab/>
      </w:r>
      <w:r>
        <w:fldChar w:fldCharType="begin"/>
      </w:r>
      <w:r>
        <w:instrText xml:space="preserve"> PAGEREF _Toc491543022 \h </w:instrText>
      </w:r>
      <w:r>
        <w:fldChar w:fldCharType="separate"/>
      </w:r>
      <w:r w:rsidR="004E5E03">
        <w:t>24</w:t>
      </w:r>
      <w:r>
        <w:fldChar w:fldCharType="end"/>
      </w:r>
    </w:p>
    <w:p w14:paraId="04041B37" w14:textId="77777777" w:rsidR="006869CA" w:rsidRDefault="006869CA">
      <w:pPr>
        <w:pStyle w:val="TDC1"/>
        <w:tabs>
          <w:tab w:val="left" w:pos="381"/>
        </w:tabs>
        <w:rPr>
          <w:rFonts w:asciiTheme="minorHAnsi" w:eastAsiaTheme="minorEastAsia" w:hAnsiTheme="minorHAnsi" w:cstheme="minorBidi"/>
          <w:b w:val="0"/>
          <w:sz w:val="24"/>
          <w:szCs w:val="24"/>
          <w:lang w:val="es-ES" w:eastAsia="ja-JP"/>
        </w:rPr>
      </w:pPr>
      <w:r w:rsidRPr="004D61F9">
        <w:rPr>
          <w:rFonts w:cs="Times-Roman"/>
          <w:lang w:bidi="es-ES_tradnl"/>
        </w:rPr>
        <w:t>2</w:t>
      </w:r>
      <w:r>
        <w:rPr>
          <w:rFonts w:asciiTheme="minorHAnsi" w:eastAsiaTheme="minorEastAsia" w:hAnsiTheme="minorHAnsi" w:cstheme="minorBidi"/>
          <w:b w:val="0"/>
          <w:sz w:val="24"/>
          <w:szCs w:val="24"/>
          <w:lang w:val="es-ES" w:eastAsia="ja-JP"/>
        </w:rPr>
        <w:tab/>
      </w:r>
      <w:r w:rsidRPr="004D61F9">
        <w:rPr>
          <w:rFonts w:cs="Times-Roman"/>
          <w:lang w:bidi="es-ES_tradnl"/>
        </w:rPr>
        <w:t>Cajas generales de protección. Línea general de alimentación. Equipos de medida. Derivaciones individuales</w:t>
      </w:r>
      <w:r>
        <w:tab/>
      </w:r>
      <w:r>
        <w:fldChar w:fldCharType="begin"/>
      </w:r>
      <w:r>
        <w:instrText xml:space="preserve"> PAGEREF _Toc491543023 \h </w:instrText>
      </w:r>
      <w:r>
        <w:fldChar w:fldCharType="separate"/>
      </w:r>
      <w:r w:rsidR="004E5E03">
        <w:t>27</w:t>
      </w:r>
      <w:r>
        <w:fldChar w:fldCharType="end"/>
      </w:r>
    </w:p>
    <w:p w14:paraId="2C94BE5C" w14:textId="77777777" w:rsidR="006869CA" w:rsidRDefault="006869CA">
      <w:pPr>
        <w:pStyle w:val="TDC1"/>
        <w:tabs>
          <w:tab w:val="left" w:pos="381"/>
        </w:tabs>
        <w:rPr>
          <w:rFonts w:asciiTheme="minorHAnsi" w:eastAsiaTheme="minorEastAsia" w:hAnsiTheme="minorHAnsi" w:cstheme="minorBidi"/>
          <w:b w:val="0"/>
          <w:sz w:val="24"/>
          <w:szCs w:val="24"/>
          <w:lang w:val="es-ES" w:eastAsia="ja-JP"/>
        </w:rPr>
      </w:pPr>
      <w:r w:rsidRPr="004D61F9">
        <w:rPr>
          <w:rFonts w:cs="Times-Roman"/>
          <w:lang w:bidi="es-ES_tradnl"/>
        </w:rPr>
        <w:t>3</w:t>
      </w:r>
      <w:r>
        <w:rPr>
          <w:rFonts w:asciiTheme="minorHAnsi" w:eastAsiaTheme="minorEastAsia" w:hAnsiTheme="minorHAnsi" w:cstheme="minorBidi"/>
          <w:b w:val="0"/>
          <w:sz w:val="24"/>
          <w:szCs w:val="24"/>
          <w:lang w:val="es-ES" w:eastAsia="ja-JP"/>
        </w:rPr>
        <w:tab/>
      </w:r>
      <w:r w:rsidRPr="004D61F9">
        <w:rPr>
          <w:rFonts w:cs="Times-Roman"/>
          <w:lang w:bidi="es-ES_tradnl"/>
        </w:rPr>
        <w:t>Protección contra contactos directos e indirectos. Cálculo y diseño de cuadros de protecciones</w:t>
      </w:r>
      <w:r>
        <w:tab/>
      </w:r>
      <w:r>
        <w:fldChar w:fldCharType="begin"/>
      </w:r>
      <w:r>
        <w:instrText xml:space="preserve"> PAGEREF _Toc491543024 \h </w:instrText>
      </w:r>
      <w:r>
        <w:fldChar w:fldCharType="separate"/>
      </w:r>
      <w:r w:rsidR="004E5E03">
        <w:t>29</w:t>
      </w:r>
      <w:r>
        <w:fldChar w:fldCharType="end"/>
      </w:r>
    </w:p>
    <w:p w14:paraId="61579DCC" w14:textId="77777777" w:rsidR="006869CA" w:rsidRDefault="006869CA">
      <w:pPr>
        <w:pStyle w:val="TDC2"/>
        <w:rPr>
          <w:rFonts w:asciiTheme="minorHAnsi" w:eastAsiaTheme="minorEastAsia" w:hAnsiTheme="minorHAnsi" w:cstheme="minorBidi"/>
          <w:sz w:val="24"/>
          <w:szCs w:val="24"/>
          <w:lang w:val="es-ES" w:eastAsia="ja-JP"/>
        </w:rPr>
      </w:pPr>
      <w:r>
        <w:t>3.1</w:t>
      </w:r>
      <w:r>
        <w:rPr>
          <w:rFonts w:asciiTheme="minorHAnsi" w:eastAsiaTheme="minorEastAsia" w:hAnsiTheme="minorHAnsi" w:cstheme="minorBidi"/>
          <w:sz w:val="24"/>
          <w:szCs w:val="24"/>
          <w:lang w:val="es-ES" w:eastAsia="ja-JP"/>
        </w:rPr>
        <w:tab/>
      </w:r>
      <w:r>
        <w:t>Protección por corte automático de la alimentación</w:t>
      </w:r>
      <w:r>
        <w:tab/>
      </w:r>
      <w:r>
        <w:fldChar w:fldCharType="begin"/>
      </w:r>
      <w:r>
        <w:instrText xml:space="preserve"> PAGEREF _Toc491543025 \h </w:instrText>
      </w:r>
      <w:r>
        <w:fldChar w:fldCharType="separate"/>
      </w:r>
      <w:r w:rsidR="004E5E03">
        <w:t>30</w:t>
      </w:r>
      <w:r>
        <w:fldChar w:fldCharType="end"/>
      </w:r>
    </w:p>
    <w:p w14:paraId="794D74CC" w14:textId="77777777" w:rsidR="006869CA" w:rsidRDefault="006869CA">
      <w:pPr>
        <w:pStyle w:val="TDC3"/>
        <w:tabs>
          <w:tab w:val="left" w:pos="1209"/>
        </w:tabs>
        <w:rPr>
          <w:rFonts w:asciiTheme="minorHAnsi" w:eastAsiaTheme="minorEastAsia" w:hAnsiTheme="minorHAnsi" w:cstheme="minorBidi"/>
          <w:sz w:val="24"/>
          <w:szCs w:val="24"/>
          <w:lang w:val="es-ES" w:eastAsia="ja-JP"/>
        </w:rPr>
      </w:pPr>
      <w:r w:rsidRPr="004D61F9">
        <w:t>3.1.1</w:t>
      </w:r>
      <w:r>
        <w:rPr>
          <w:rFonts w:asciiTheme="minorHAnsi" w:eastAsiaTheme="minorEastAsia" w:hAnsiTheme="minorHAnsi" w:cstheme="minorBidi"/>
          <w:sz w:val="24"/>
          <w:szCs w:val="24"/>
          <w:lang w:val="es-ES" w:eastAsia="ja-JP"/>
        </w:rPr>
        <w:tab/>
      </w:r>
      <w:r>
        <w:t>Cortocircuitos y sobrecargas</w:t>
      </w:r>
      <w:r>
        <w:tab/>
      </w:r>
      <w:r>
        <w:fldChar w:fldCharType="begin"/>
      </w:r>
      <w:r>
        <w:instrText xml:space="preserve"> PAGEREF _Toc491543026 \h </w:instrText>
      </w:r>
      <w:r>
        <w:fldChar w:fldCharType="separate"/>
      </w:r>
      <w:r w:rsidR="004E5E03">
        <w:t>30</w:t>
      </w:r>
      <w:r>
        <w:fldChar w:fldCharType="end"/>
      </w:r>
    </w:p>
    <w:p w14:paraId="2B86A036" w14:textId="77777777" w:rsidR="006869CA" w:rsidRDefault="006869CA">
      <w:pPr>
        <w:pStyle w:val="TDC3"/>
        <w:tabs>
          <w:tab w:val="left" w:pos="1209"/>
        </w:tabs>
        <w:rPr>
          <w:rFonts w:asciiTheme="minorHAnsi" w:eastAsiaTheme="minorEastAsia" w:hAnsiTheme="minorHAnsi" w:cstheme="minorBidi"/>
          <w:sz w:val="24"/>
          <w:szCs w:val="24"/>
          <w:lang w:val="es-ES" w:eastAsia="ja-JP"/>
        </w:rPr>
      </w:pPr>
      <w:r w:rsidRPr="004D61F9">
        <w:t>3.1.2</w:t>
      </w:r>
      <w:r>
        <w:rPr>
          <w:rFonts w:asciiTheme="minorHAnsi" w:eastAsiaTheme="minorEastAsia" w:hAnsiTheme="minorHAnsi" w:cstheme="minorBidi"/>
          <w:sz w:val="24"/>
          <w:szCs w:val="24"/>
          <w:lang w:val="es-ES" w:eastAsia="ja-JP"/>
        </w:rPr>
        <w:tab/>
      </w:r>
      <w:r>
        <w:t>Derivaciones a tierra</w:t>
      </w:r>
      <w:r>
        <w:tab/>
      </w:r>
      <w:r>
        <w:fldChar w:fldCharType="begin"/>
      </w:r>
      <w:r>
        <w:instrText xml:space="preserve"> PAGEREF _Toc491543027 \h </w:instrText>
      </w:r>
      <w:r>
        <w:fldChar w:fldCharType="separate"/>
      </w:r>
      <w:r w:rsidR="004E5E03">
        <w:t>32</w:t>
      </w:r>
      <w:r>
        <w:fldChar w:fldCharType="end"/>
      </w:r>
    </w:p>
    <w:p w14:paraId="66BCF2E2" w14:textId="77777777" w:rsidR="006869CA" w:rsidRDefault="006869CA">
      <w:pPr>
        <w:pStyle w:val="TDC2"/>
        <w:rPr>
          <w:rFonts w:asciiTheme="minorHAnsi" w:eastAsiaTheme="minorEastAsia" w:hAnsiTheme="minorHAnsi" w:cstheme="minorBidi"/>
          <w:sz w:val="24"/>
          <w:szCs w:val="24"/>
          <w:lang w:val="es-ES" w:eastAsia="ja-JP"/>
        </w:rPr>
      </w:pPr>
      <w:r>
        <w:t>3.2</w:t>
      </w:r>
      <w:r>
        <w:rPr>
          <w:rFonts w:asciiTheme="minorHAnsi" w:eastAsiaTheme="minorEastAsia" w:hAnsiTheme="minorHAnsi" w:cstheme="minorBidi"/>
          <w:sz w:val="24"/>
          <w:szCs w:val="24"/>
          <w:lang w:val="es-ES" w:eastAsia="ja-JP"/>
        </w:rPr>
        <w:tab/>
      </w:r>
      <w:r>
        <w:t>Diseño de protecciones eléctricas</w:t>
      </w:r>
      <w:r>
        <w:tab/>
      </w:r>
      <w:r>
        <w:fldChar w:fldCharType="begin"/>
      </w:r>
      <w:r>
        <w:instrText xml:space="preserve"> PAGEREF _Toc491543028 \h </w:instrText>
      </w:r>
      <w:r>
        <w:fldChar w:fldCharType="separate"/>
      </w:r>
      <w:r w:rsidR="004E5E03">
        <w:t>37</w:t>
      </w:r>
      <w:r>
        <w:fldChar w:fldCharType="end"/>
      </w:r>
    </w:p>
    <w:p w14:paraId="79BEBBF0" w14:textId="77777777" w:rsidR="006869CA" w:rsidRDefault="006869CA">
      <w:pPr>
        <w:pStyle w:val="TDC1"/>
        <w:tabs>
          <w:tab w:val="left" w:pos="381"/>
        </w:tabs>
        <w:rPr>
          <w:rFonts w:asciiTheme="minorHAnsi" w:eastAsiaTheme="minorEastAsia" w:hAnsiTheme="minorHAnsi" w:cstheme="minorBidi"/>
          <w:b w:val="0"/>
          <w:sz w:val="24"/>
          <w:szCs w:val="24"/>
          <w:lang w:val="es-ES" w:eastAsia="ja-JP"/>
        </w:rPr>
      </w:pPr>
      <w:r w:rsidRPr="004D61F9">
        <w:rPr>
          <w:rFonts w:cs="Times-Roman"/>
          <w:lang w:bidi="es-ES_tradnl"/>
        </w:rPr>
        <w:t>4</w:t>
      </w:r>
      <w:r>
        <w:rPr>
          <w:rFonts w:asciiTheme="minorHAnsi" w:eastAsiaTheme="minorEastAsia" w:hAnsiTheme="minorHAnsi" w:cstheme="minorBidi"/>
          <w:b w:val="0"/>
          <w:sz w:val="24"/>
          <w:szCs w:val="24"/>
          <w:lang w:val="es-ES" w:eastAsia="ja-JP"/>
        </w:rPr>
        <w:tab/>
      </w:r>
      <w:r w:rsidRPr="004D61F9">
        <w:rPr>
          <w:rFonts w:cs="Times-Roman"/>
          <w:lang w:bidi="es-ES_tradnl"/>
        </w:rPr>
        <w:t>Nociones de cálculo de potencias y previsión de cargas</w:t>
      </w:r>
      <w:r>
        <w:tab/>
      </w:r>
      <w:r>
        <w:fldChar w:fldCharType="begin"/>
      </w:r>
      <w:r>
        <w:instrText xml:space="preserve"> PAGEREF _Toc491543029 \h </w:instrText>
      </w:r>
      <w:r>
        <w:fldChar w:fldCharType="separate"/>
      </w:r>
      <w:r w:rsidR="004E5E03">
        <w:t>24</w:t>
      </w:r>
      <w:r>
        <w:fldChar w:fldCharType="end"/>
      </w:r>
    </w:p>
    <w:p w14:paraId="253CDF59" w14:textId="77777777" w:rsidR="006869CA" w:rsidRDefault="006869CA">
      <w:pPr>
        <w:pStyle w:val="TDC2"/>
        <w:rPr>
          <w:rFonts w:asciiTheme="minorHAnsi" w:eastAsiaTheme="minorEastAsia" w:hAnsiTheme="minorHAnsi" w:cstheme="minorBidi"/>
          <w:sz w:val="24"/>
          <w:szCs w:val="24"/>
          <w:lang w:val="es-ES" w:eastAsia="ja-JP"/>
        </w:rPr>
      </w:pPr>
      <w:r>
        <w:t>4.1</w:t>
      </w:r>
      <w:r>
        <w:rPr>
          <w:rFonts w:asciiTheme="minorHAnsi" w:eastAsiaTheme="minorEastAsia" w:hAnsiTheme="minorHAnsi" w:cstheme="minorBidi"/>
          <w:sz w:val="24"/>
          <w:szCs w:val="24"/>
          <w:lang w:val="es-ES" w:eastAsia="ja-JP"/>
        </w:rPr>
        <w:tab/>
      </w:r>
      <w:r>
        <w:t>Previsión de cargas</w:t>
      </w:r>
      <w:r>
        <w:tab/>
      </w:r>
      <w:r>
        <w:fldChar w:fldCharType="begin"/>
      </w:r>
      <w:r>
        <w:instrText xml:space="preserve"> PAGEREF _Toc491543030 \h </w:instrText>
      </w:r>
      <w:r>
        <w:fldChar w:fldCharType="separate"/>
      </w:r>
      <w:r w:rsidR="004E5E03">
        <w:t>24</w:t>
      </w:r>
      <w:r>
        <w:fldChar w:fldCharType="end"/>
      </w:r>
    </w:p>
    <w:p w14:paraId="2B51283C" w14:textId="77777777" w:rsidR="006869CA" w:rsidRDefault="006869CA">
      <w:pPr>
        <w:pStyle w:val="TDC2"/>
        <w:rPr>
          <w:rFonts w:asciiTheme="minorHAnsi" w:eastAsiaTheme="minorEastAsia" w:hAnsiTheme="minorHAnsi" w:cstheme="minorBidi"/>
          <w:sz w:val="24"/>
          <w:szCs w:val="24"/>
          <w:lang w:val="es-ES" w:eastAsia="ja-JP"/>
        </w:rPr>
      </w:pPr>
      <w:r w:rsidRPr="004D61F9">
        <w:rPr>
          <w:rFonts w:cs="Times-Roman"/>
          <w:lang w:bidi="es-ES_tradnl"/>
        </w:rPr>
        <w:t>4.2</w:t>
      </w:r>
      <w:r>
        <w:rPr>
          <w:rFonts w:asciiTheme="minorHAnsi" w:eastAsiaTheme="minorEastAsia" w:hAnsiTheme="minorHAnsi" w:cstheme="minorBidi"/>
          <w:sz w:val="24"/>
          <w:szCs w:val="24"/>
          <w:lang w:val="es-ES" w:eastAsia="ja-JP"/>
        </w:rPr>
        <w:tab/>
      </w:r>
      <w:r w:rsidRPr="004D61F9">
        <w:rPr>
          <w:rFonts w:cs="Times-Roman"/>
          <w:lang w:bidi="es-ES_tradnl"/>
        </w:rPr>
        <w:t>La instrucción técnica ITC-BT 10</w:t>
      </w:r>
      <w:r>
        <w:tab/>
      </w:r>
      <w:r>
        <w:fldChar w:fldCharType="begin"/>
      </w:r>
      <w:r>
        <w:instrText xml:space="preserve"> PAGEREF _Toc491543031 \h </w:instrText>
      </w:r>
      <w:r>
        <w:fldChar w:fldCharType="separate"/>
      </w:r>
      <w:r w:rsidR="004E5E03">
        <w:t>26</w:t>
      </w:r>
      <w:r>
        <w:fldChar w:fldCharType="end"/>
      </w:r>
    </w:p>
    <w:p w14:paraId="63814389" w14:textId="77777777" w:rsidR="006869CA" w:rsidRDefault="006869CA">
      <w:pPr>
        <w:pStyle w:val="TDC1"/>
        <w:tabs>
          <w:tab w:val="left" w:pos="381"/>
        </w:tabs>
        <w:rPr>
          <w:rFonts w:asciiTheme="minorHAnsi" w:eastAsiaTheme="minorEastAsia" w:hAnsiTheme="minorHAnsi" w:cstheme="minorBidi"/>
          <w:b w:val="0"/>
          <w:sz w:val="24"/>
          <w:szCs w:val="24"/>
          <w:lang w:val="es-ES" w:eastAsia="ja-JP"/>
        </w:rPr>
      </w:pPr>
      <w:r w:rsidRPr="004D61F9">
        <w:rPr>
          <w:rFonts w:cs="Times-Roman"/>
          <w:lang w:bidi="es-ES_tradnl"/>
        </w:rPr>
        <w:t>5</w:t>
      </w:r>
      <w:r>
        <w:rPr>
          <w:rFonts w:asciiTheme="minorHAnsi" w:eastAsiaTheme="minorEastAsia" w:hAnsiTheme="minorHAnsi" w:cstheme="minorBidi"/>
          <w:b w:val="0"/>
          <w:sz w:val="24"/>
          <w:szCs w:val="24"/>
          <w:lang w:val="es-ES" w:eastAsia="ja-JP"/>
        </w:rPr>
        <w:tab/>
      </w:r>
      <w:r w:rsidRPr="004D61F9">
        <w:rPr>
          <w:rFonts w:cs="Times-Roman"/>
          <w:lang w:bidi="es-ES_tradnl"/>
        </w:rPr>
        <w:t>Nociones de cálculo de conductores. Diseño de circuitos</w:t>
      </w:r>
      <w:r>
        <w:tab/>
      </w:r>
      <w:r>
        <w:fldChar w:fldCharType="begin"/>
      </w:r>
      <w:r>
        <w:instrText xml:space="preserve"> PAGEREF _Toc491543032 \h </w:instrText>
      </w:r>
      <w:r>
        <w:fldChar w:fldCharType="separate"/>
      </w:r>
      <w:r w:rsidR="004E5E03">
        <w:t>38</w:t>
      </w:r>
      <w:r>
        <w:fldChar w:fldCharType="end"/>
      </w:r>
    </w:p>
    <w:p w14:paraId="7108D262" w14:textId="77777777" w:rsidR="006869CA" w:rsidRDefault="006869CA">
      <w:pPr>
        <w:pStyle w:val="TDC2"/>
        <w:rPr>
          <w:rFonts w:asciiTheme="minorHAnsi" w:eastAsiaTheme="minorEastAsia" w:hAnsiTheme="minorHAnsi" w:cstheme="minorBidi"/>
          <w:sz w:val="24"/>
          <w:szCs w:val="24"/>
          <w:lang w:val="es-ES" w:eastAsia="ja-JP"/>
        </w:rPr>
      </w:pPr>
      <w:r>
        <w:t>5.1</w:t>
      </w:r>
      <w:r>
        <w:rPr>
          <w:rFonts w:asciiTheme="minorHAnsi" w:eastAsiaTheme="minorEastAsia" w:hAnsiTheme="minorHAnsi" w:cstheme="minorBidi"/>
          <w:sz w:val="24"/>
          <w:szCs w:val="24"/>
          <w:lang w:val="es-ES" w:eastAsia="ja-JP"/>
        </w:rPr>
        <w:tab/>
      </w:r>
      <w:r>
        <w:t>Selección de conductores</w:t>
      </w:r>
      <w:r>
        <w:tab/>
      </w:r>
      <w:r>
        <w:fldChar w:fldCharType="begin"/>
      </w:r>
      <w:r>
        <w:instrText xml:space="preserve"> PAGEREF _Toc491543033 \h </w:instrText>
      </w:r>
      <w:r>
        <w:fldChar w:fldCharType="separate"/>
      </w:r>
      <w:r w:rsidR="004E5E03">
        <w:t>38</w:t>
      </w:r>
      <w:r>
        <w:fldChar w:fldCharType="end"/>
      </w:r>
    </w:p>
    <w:p w14:paraId="7A7BDDDA" w14:textId="77777777" w:rsidR="006869CA" w:rsidRDefault="006869CA">
      <w:pPr>
        <w:pStyle w:val="TDC2"/>
        <w:rPr>
          <w:rFonts w:asciiTheme="minorHAnsi" w:eastAsiaTheme="minorEastAsia" w:hAnsiTheme="minorHAnsi" w:cstheme="minorBidi"/>
          <w:sz w:val="24"/>
          <w:szCs w:val="24"/>
          <w:lang w:val="es-ES" w:eastAsia="ja-JP"/>
        </w:rPr>
      </w:pPr>
      <w:r>
        <w:t>5.2</w:t>
      </w:r>
      <w:r>
        <w:rPr>
          <w:rFonts w:asciiTheme="minorHAnsi" w:eastAsiaTheme="minorEastAsia" w:hAnsiTheme="minorHAnsi" w:cstheme="minorBidi"/>
          <w:sz w:val="24"/>
          <w:szCs w:val="24"/>
          <w:lang w:val="es-ES" w:eastAsia="ja-JP"/>
        </w:rPr>
        <w:tab/>
      </w:r>
      <w:r>
        <w:t>Diseño de circuitos por verificación de secciones</w:t>
      </w:r>
      <w:r>
        <w:tab/>
      </w:r>
      <w:r>
        <w:fldChar w:fldCharType="begin"/>
      </w:r>
      <w:r>
        <w:instrText xml:space="preserve"> PAGEREF _Toc491543034 \h </w:instrText>
      </w:r>
      <w:r>
        <w:fldChar w:fldCharType="separate"/>
      </w:r>
      <w:r w:rsidR="004E5E03">
        <w:t>39</w:t>
      </w:r>
      <w:r>
        <w:fldChar w:fldCharType="end"/>
      </w:r>
    </w:p>
    <w:p w14:paraId="7CFAF5E5" w14:textId="77777777" w:rsidR="006869CA" w:rsidRDefault="006869CA">
      <w:pPr>
        <w:pStyle w:val="TDC1"/>
        <w:tabs>
          <w:tab w:val="left" w:pos="381"/>
        </w:tabs>
        <w:rPr>
          <w:rFonts w:asciiTheme="minorHAnsi" w:eastAsiaTheme="minorEastAsia" w:hAnsiTheme="minorHAnsi" w:cstheme="minorBidi"/>
          <w:b w:val="0"/>
          <w:sz w:val="24"/>
          <w:szCs w:val="24"/>
          <w:lang w:val="es-ES" w:eastAsia="ja-JP"/>
        </w:rPr>
      </w:pPr>
      <w:r w:rsidRPr="004D61F9">
        <w:rPr>
          <w:rFonts w:cs="Verdana"/>
          <w:lang w:bidi="es-ES_tradnl"/>
        </w:rPr>
        <w:t>6</w:t>
      </w:r>
      <w:r>
        <w:rPr>
          <w:rFonts w:asciiTheme="minorHAnsi" w:eastAsiaTheme="minorEastAsia" w:hAnsiTheme="minorHAnsi" w:cstheme="minorBidi"/>
          <w:b w:val="0"/>
          <w:sz w:val="24"/>
          <w:szCs w:val="24"/>
          <w:lang w:val="es-ES" w:eastAsia="ja-JP"/>
        </w:rPr>
        <w:tab/>
      </w:r>
      <w:r w:rsidRPr="004D61F9">
        <w:rPr>
          <w:rFonts w:cs="Times-Roman"/>
          <w:lang w:bidi="es-ES_tradnl"/>
        </w:rPr>
        <w:t>Receptores</w:t>
      </w:r>
      <w:r>
        <w:tab/>
      </w:r>
      <w:r>
        <w:fldChar w:fldCharType="begin"/>
      </w:r>
      <w:r>
        <w:instrText xml:space="preserve"> PAGEREF _Toc491543035 \h </w:instrText>
      </w:r>
      <w:r>
        <w:fldChar w:fldCharType="separate"/>
      </w:r>
      <w:r w:rsidR="004E5E03">
        <w:t>39</w:t>
      </w:r>
      <w:r>
        <w:fldChar w:fldCharType="end"/>
      </w:r>
    </w:p>
    <w:p w14:paraId="7F941814" w14:textId="77777777" w:rsidR="00C05C9D" w:rsidRPr="00791F87" w:rsidRDefault="00C05C9D" w:rsidP="00C05C9D">
      <w:pPr>
        <w:rPr>
          <w:rFonts w:cs="TimesNewRomanPSMT"/>
          <w:szCs w:val="19"/>
          <w:lang w:bidi="es-ES_tradnl"/>
        </w:rPr>
      </w:pPr>
      <w:r w:rsidRPr="00791F87">
        <w:rPr>
          <w:rFonts w:cs="TimesNewRomanPSMT"/>
          <w:szCs w:val="19"/>
          <w:lang w:bidi="es-ES_tradnl"/>
        </w:rPr>
        <w:fldChar w:fldCharType="end"/>
      </w:r>
    </w:p>
    <w:p w14:paraId="6F6CC327" w14:textId="77777777" w:rsidR="00C05C9D" w:rsidRDefault="00C05C9D" w:rsidP="00C05C9D"/>
    <w:p w14:paraId="3A87B42B" w14:textId="77777777" w:rsidR="00C05C9D" w:rsidRPr="00791F87" w:rsidRDefault="00C05C9D" w:rsidP="00C05C9D">
      <w:pPr>
        <w:rPr>
          <w:rFonts w:cs="TimesNewRomanPSMT"/>
          <w:szCs w:val="19"/>
          <w:lang w:bidi="es-ES_tradnl"/>
        </w:rPr>
      </w:pPr>
      <w:r w:rsidRPr="00791F87">
        <w:rPr>
          <w:rFonts w:cs="TimesNewRomanPSMT"/>
          <w:szCs w:val="19"/>
          <w:lang w:bidi="es-ES_tradnl"/>
        </w:rPr>
        <w:br w:type="page"/>
        <w:t xml:space="preserve"> </w:t>
      </w:r>
    </w:p>
    <w:p w14:paraId="031798FC" w14:textId="77777777" w:rsidR="00C05C9D" w:rsidRPr="00791F87" w:rsidRDefault="00C05C9D" w:rsidP="00631568">
      <w:pPr>
        <w:pStyle w:val="Ttulo"/>
        <w:rPr>
          <w:rFonts w:cs="TimesNewRomanPSMT"/>
          <w:szCs w:val="19"/>
          <w:lang w:bidi="es-ES_tradnl"/>
        </w:rPr>
      </w:pPr>
      <w:bookmarkStart w:id="0" w:name="_Toc491543021"/>
      <w:r w:rsidRPr="00791F87">
        <w:rPr>
          <w:rFonts w:cs="TimesNewRomanPSMT"/>
          <w:szCs w:val="19"/>
          <w:lang w:bidi="es-ES_tradnl"/>
        </w:rPr>
        <w:t>2. INSTALACIONES ELÉCTRICAS GENERALES</w:t>
      </w:r>
      <w:bookmarkEnd w:id="0"/>
    </w:p>
    <w:p w14:paraId="204CD071" w14:textId="77777777" w:rsidR="004E5E03" w:rsidRDefault="004E5E03" w:rsidP="004E5E03">
      <w:pPr>
        <w:pStyle w:val="Ttulo1"/>
        <w:rPr>
          <w:rFonts w:cs="Times-Roman"/>
          <w:szCs w:val="32"/>
          <w:lang w:bidi="es-ES_tradnl"/>
        </w:rPr>
      </w:pPr>
      <w:bookmarkStart w:id="1" w:name="_Toc491543022"/>
      <w:bookmarkStart w:id="2" w:name="_Toc491543029"/>
      <w:r>
        <w:rPr>
          <w:rFonts w:cs="Times-Roman"/>
          <w:szCs w:val="32"/>
          <w:lang w:bidi="es-ES_tradnl"/>
        </w:rPr>
        <w:t>Nociones de cálculo de potencias y previsión de cargas</w:t>
      </w:r>
      <w:bookmarkEnd w:id="2"/>
    </w:p>
    <w:p w14:paraId="3DE53885" w14:textId="77777777" w:rsidR="004E5E03" w:rsidRPr="00CC0E80" w:rsidRDefault="004E5E03" w:rsidP="004E5E03">
      <w:pPr>
        <w:pStyle w:val="Ttulo2"/>
      </w:pPr>
      <w:bookmarkStart w:id="3" w:name="_Toc491543030"/>
      <w:r w:rsidRPr="00CC0E80">
        <w:t>Previsión de cargas</w:t>
      </w:r>
      <w:bookmarkEnd w:id="3"/>
    </w:p>
    <w:p w14:paraId="1DB62C5F" w14:textId="77777777" w:rsidR="004E5E03" w:rsidRPr="00CC0E80" w:rsidRDefault="004E5E03" w:rsidP="004E5E03">
      <w:r w:rsidRPr="00CC0E80">
        <w:t>La previsión de cargas consiste en estimar la potencia que la red de distribución de energía eléctrica será capaz de proporcionar en cada punto en condiciones de seg</w:t>
      </w:r>
      <w:r w:rsidRPr="00CC0E80">
        <w:t>u</w:t>
      </w:r>
      <w:r w:rsidRPr="00CC0E80">
        <w:t xml:space="preserve">ridad para las personas y los materiales. </w:t>
      </w:r>
    </w:p>
    <w:p w14:paraId="70D0FB1F" w14:textId="77777777" w:rsidR="004E5E03" w:rsidRPr="00CC0E80" w:rsidRDefault="004E5E03" w:rsidP="004E5E03">
      <w:r w:rsidRPr="00CC0E80">
        <w:t xml:space="preserve">También se denomina previsión de cargas a la lista de los receptores conocidos, con su potencia nominal, incluyendo los circuitos que se dejan previstos para alimentar otros receptores no conocidos. </w:t>
      </w:r>
    </w:p>
    <w:p w14:paraId="1C3EC076" w14:textId="77777777" w:rsidR="004E5E03" w:rsidRPr="00CC0E80" w:rsidRDefault="004E5E03" w:rsidP="004E5E03">
      <w:r w:rsidRPr="00CC0E80">
        <w:t>A la hora de hacer una previsión de cargas adecuada para una instalación nueva o para la reforma de una existente, deben tenerse en consideración conceptos como:</w:t>
      </w:r>
    </w:p>
    <w:p w14:paraId="2E6A2D6F" w14:textId="77777777" w:rsidR="004E5E03" w:rsidRPr="00CC0E80" w:rsidRDefault="004E5E03" w:rsidP="004E5E03">
      <w:pPr>
        <w:numPr>
          <w:ilvl w:val="0"/>
          <w:numId w:val="3"/>
        </w:numPr>
      </w:pPr>
      <w:r w:rsidRPr="00CC0E80">
        <w:t>Las características de los conductores, que deben ser adecuadas para la carga a soportar.</w:t>
      </w:r>
    </w:p>
    <w:p w14:paraId="3A5DC880" w14:textId="77777777" w:rsidR="004E5E03" w:rsidRPr="00CC0E80" w:rsidRDefault="004E5E03" w:rsidP="004E5E03">
      <w:pPr>
        <w:numPr>
          <w:ilvl w:val="0"/>
          <w:numId w:val="3"/>
        </w:numPr>
      </w:pPr>
      <w:r w:rsidRPr="00CC0E80">
        <w:t>Las protecciones de los circuitos, que deben permitir el suministro de pote</w:t>
      </w:r>
      <w:r w:rsidRPr="00CC0E80">
        <w:t>n</w:t>
      </w:r>
      <w:r w:rsidRPr="00CC0E80">
        <w:t>cia a esas cargas sin poner en peligro ni las personas ni las instalaciones.</w:t>
      </w:r>
    </w:p>
    <w:p w14:paraId="3AE1B3C9" w14:textId="77777777" w:rsidR="004E5E03" w:rsidRPr="00CC0E80" w:rsidRDefault="004E5E03" w:rsidP="004E5E03">
      <w:pPr>
        <w:numPr>
          <w:ilvl w:val="0"/>
          <w:numId w:val="3"/>
        </w:numPr>
      </w:pPr>
      <w:r w:rsidRPr="00CC0E80">
        <w:t>La máxima capacidad de absorber energía de la red que tiene toda la instal</w:t>
      </w:r>
      <w:r w:rsidRPr="00CC0E80">
        <w:t>a</w:t>
      </w:r>
      <w:r w:rsidRPr="00CC0E80">
        <w:t>ción en su conjunto, que deberá ser comunicada a las autoridades comp</w:t>
      </w:r>
      <w:r w:rsidRPr="00CC0E80">
        <w:t>e</w:t>
      </w:r>
      <w:r w:rsidRPr="00CC0E80">
        <w:t>tentes para la oportuna 'legalización' de lo ejecutado.</w:t>
      </w:r>
    </w:p>
    <w:p w14:paraId="7FBB0553" w14:textId="77777777" w:rsidR="004E5E03" w:rsidRPr="00CC0E80" w:rsidRDefault="004E5E03" w:rsidP="004E5E03">
      <w:pPr>
        <w:numPr>
          <w:ilvl w:val="0"/>
          <w:numId w:val="3"/>
        </w:numPr>
      </w:pPr>
      <w:r w:rsidRPr="00CC0E80">
        <w:t>La solicitud que debe hacerse a la compañía distribuidora para lograr todo el suministro pretendido.</w:t>
      </w:r>
    </w:p>
    <w:p w14:paraId="44C84327" w14:textId="77777777" w:rsidR="004E5E03" w:rsidRPr="00CC0E80" w:rsidRDefault="004E5E03" w:rsidP="004E5E03">
      <w:pPr>
        <w:numPr>
          <w:ilvl w:val="0"/>
          <w:numId w:val="3"/>
        </w:numPr>
      </w:pPr>
      <w:r w:rsidRPr="00CC0E80">
        <w:t>Los parámetros del contrato con la compañía comercializadora del sumini</w:t>
      </w:r>
      <w:r w:rsidRPr="00CC0E80">
        <w:t>s</w:t>
      </w:r>
      <w:r w:rsidRPr="00CC0E80">
        <w:t>tro, que fijarán una buena parte del precio final de la energía eléctrica.</w:t>
      </w:r>
    </w:p>
    <w:p w14:paraId="51C50EB3" w14:textId="77777777" w:rsidR="004E5E03" w:rsidRPr="00CC0E80" w:rsidRDefault="004E5E03" w:rsidP="004E5E03">
      <w:pPr>
        <w:numPr>
          <w:ilvl w:val="0"/>
          <w:numId w:val="3"/>
        </w:numPr>
      </w:pPr>
      <w:r w:rsidRPr="00CC0E80">
        <w:t>Las necesidades mínimas e irrenunciables de potencia de la instalación r</w:t>
      </w:r>
      <w:r w:rsidRPr="00CC0E80">
        <w:t>e</w:t>
      </w:r>
      <w:r w:rsidRPr="00CC0E80">
        <w:t>ceptora.</w:t>
      </w:r>
    </w:p>
    <w:p w14:paraId="0FD1D993" w14:textId="77777777" w:rsidR="004E5E03" w:rsidRPr="00CC0E80" w:rsidRDefault="004E5E03" w:rsidP="004E5E03"/>
    <w:p w14:paraId="00948924" w14:textId="77777777" w:rsidR="004E5E03" w:rsidRPr="00CC0E80" w:rsidRDefault="004E5E03" w:rsidP="004E5E03">
      <w:r w:rsidRPr="00CC0E80">
        <w:t>Se definen así los siguientes conceptos o potencias a tener en cuenta:</w:t>
      </w:r>
    </w:p>
    <w:p w14:paraId="5D5DC80C" w14:textId="77777777" w:rsidR="004E5E03" w:rsidRPr="00CC0E80" w:rsidRDefault="004E5E03" w:rsidP="004E5E03"/>
    <w:p w14:paraId="71D0675F" w14:textId="77777777" w:rsidR="004E5E03" w:rsidRPr="00FA6451" w:rsidRDefault="004E5E03" w:rsidP="004E5E03">
      <w:pPr>
        <w:tabs>
          <w:tab w:val="left" w:pos="567"/>
        </w:tabs>
        <w:ind w:left="2835" w:hanging="2835"/>
      </w:pPr>
      <w:r w:rsidRPr="00CC0E80">
        <w:rPr>
          <w:i/>
        </w:rPr>
        <w:t>P</w:t>
      </w:r>
      <w:r w:rsidRPr="00CC0E80">
        <w:rPr>
          <w:sz w:val="18"/>
        </w:rPr>
        <w:t>i</w:t>
      </w:r>
      <w:r w:rsidRPr="00FA6451">
        <w:tab/>
        <w:t>Potencia instalada</w:t>
      </w:r>
      <w:r w:rsidRPr="00FA6451">
        <w:tab/>
        <w:t>Es la potencia nominal de cada receptor, o la suma de las potencias nominales de los receptores agrupados en un circuito. Determina el calibre mínimo de los co</w:t>
      </w:r>
      <w:r w:rsidRPr="00FA6451">
        <w:t>n</w:t>
      </w:r>
      <w:r w:rsidRPr="00FA6451">
        <w:t>ductores (cálculo de su sección) y condiciona su tipo y modo de instalación.</w:t>
      </w:r>
    </w:p>
    <w:p w14:paraId="631AAC35" w14:textId="77777777" w:rsidR="004E5E03" w:rsidRPr="00FA6451" w:rsidRDefault="004E5E03" w:rsidP="004E5E03">
      <w:pPr>
        <w:tabs>
          <w:tab w:val="left" w:pos="567"/>
        </w:tabs>
        <w:ind w:left="2835" w:hanging="2835"/>
      </w:pPr>
      <w:r w:rsidRPr="00CC0E80">
        <w:rPr>
          <w:i/>
        </w:rPr>
        <w:t>P</w:t>
      </w:r>
      <w:r w:rsidRPr="00CC0E80">
        <w:rPr>
          <w:sz w:val="18"/>
        </w:rPr>
        <w:t>sim</w:t>
      </w:r>
      <w:r w:rsidRPr="00FA6451">
        <w:tab/>
        <w:t>Potencia simultánea</w:t>
      </w:r>
      <w:r w:rsidRPr="00FA6451">
        <w:tab/>
        <w:t>Es la máxima que debe suministrar un circuito, limitada por su protección magnetotérmica o fusible de cab</w:t>
      </w:r>
      <w:r w:rsidRPr="00FA6451">
        <w:t>e</w:t>
      </w:r>
      <w:r w:rsidRPr="00FA6451">
        <w:t>cera. A partir de esta potencia se eligen seleccionan los calibres de dichas protecciones.</w:t>
      </w:r>
    </w:p>
    <w:p w14:paraId="114D6179" w14:textId="77777777" w:rsidR="004E5E03" w:rsidRPr="00FA6451" w:rsidRDefault="004E5E03" w:rsidP="004E5E03">
      <w:pPr>
        <w:tabs>
          <w:tab w:val="left" w:pos="567"/>
        </w:tabs>
        <w:ind w:left="2835" w:hanging="2835"/>
      </w:pPr>
      <w:r w:rsidRPr="00CC0E80">
        <w:rPr>
          <w:i/>
        </w:rPr>
        <w:t>P</w:t>
      </w:r>
      <w:r w:rsidRPr="00CC0E80">
        <w:rPr>
          <w:sz w:val="18"/>
        </w:rPr>
        <w:t>ad</w:t>
      </w:r>
      <w:r w:rsidRPr="00FA6451">
        <w:tab/>
        <w:t>Potencia admisible</w:t>
      </w:r>
      <w:r w:rsidRPr="00FA6451">
        <w:tab/>
        <w:t>La potencia admisible se refiere a toda la instalación, y se denomina en el RBT como potencia admisible por la instalación. Viene limitada por el elemento singular más restrictivo de la cabecera de la red interior, normalme</w:t>
      </w:r>
      <w:r w:rsidRPr="00FA6451">
        <w:t>n</w:t>
      </w:r>
      <w:r w:rsidRPr="00FA6451">
        <w:t>te el interruptor automático magnetotérmico general, aunque podrían ser los fusibles o, en ocasiones, la sección de la línea general de alimentación o de la d</w:t>
      </w:r>
      <w:r w:rsidRPr="00FA6451">
        <w:t>e</w:t>
      </w:r>
      <w:r w:rsidRPr="00FA6451">
        <w:t>rivación individual.</w:t>
      </w:r>
    </w:p>
    <w:p w14:paraId="60A107DE" w14:textId="77777777" w:rsidR="004E5E03" w:rsidRPr="00FA6451" w:rsidRDefault="004E5E03" w:rsidP="004E5E03">
      <w:pPr>
        <w:tabs>
          <w:tab w:val="left" w:pos="567"/>
        </w:tabs>
        <w:ind w:left="2835" w:hanging="2835"/>
      </w:pPr>
      <w:r w:rsidRPr="00CC0E80">
        <w:rPr>
          <w:i/>
        </w:rPr>
        <w:t>P</w:t>
      </w:r>
      <w:r w:rsidRPr="00CC0E80">
        <w:rPr>
          <w:sz w:val="18"/>
        </w:rPr>
        <w:t>ac</w:t>
      </w:r>
      <w:r w:rsidRPr="00FA6451">
        <w:tab/>
        <w:t>Potencia de acometida</w:t>
      </w:r>
      <w:r w:rsidRPr="00FA6451">
        <w:tab/>
        <w:t>Potencia solicitada a la compañía distribuidora para la asignación del complemento por el uso de la red (pe</w:t>
      </w:r>
      <w:r w:rsidRPr="00FA6451">
        <w:t>a</w:t>
      </w:r>
      <w:r w:rsidRPr="00FA6451">
        <w:t>jes) y que fija las tasas por acometida, enganche y ver</w:t>
      </w:r>
      <w:r w:rsidRPr="00FA6451">
        <w:t>i</w:t>
      </w:r>
      <w:r w:rsidRPr="00FA6451">
        <w:t>ficación para nuevos suministros o modificación de los existentes.</w:t>
      </w:r>
    </w:p>
    <w:p w14:paraId="1CB7B03C" w14:textId="77777777" w:rsidR="004E5E03" w:rsidRPr="00FA6451" w:rsidRDefault="004E5E03" w:rsidP="004E5E03">
      <w:pPr>
        <w:tabs>
          <w:tab w:val="left" w:pos="567"/>
        </w:tabs>
        <w:ind w:left="2835" w:hanging="2835"/>
      </w:pPr>
      <w:r w:rsidRPr="00CC0E80">
        <w:rPr>
          <w:i/>
        </w:rPr>
        <w:t>P</w:t>
      </w:r>
      <w:r w:rsidRPr="00CC0E80">
        <w:rPr>
          <w:sz w:val="18"/>
        </w:rPr>
        <w:t>c</w:t>
      </w:r>
      <w:r w:rsidRPr="00FA6451">
        <w:t xml:space="preserve"> </w:t>
      </w:r>
      <w:r w:rsidRPr="00FA6451">
        <w:tab/>
        <w:t>Potencia contratada</w:t>
      </w:r>
      <w:r w:rsidRPr="00FA6451">
        <w:tab/>
        <w:t>Potencia asignada al contrato de suministro con la comercializadora, que determina directa o indirect</w:t>
      </w:r>
      <w:r w:rsidRPr="00FA6451">
        <w:t>a</w:t>
      </w:r>
      <w:r w:rsidRPr="00FA6451">
        <w:t>mente el pago por potencia en cada factura eléctrica.</w:t>
      </w:r>
    </w:p>
    <w:p w14:paraId="4DF0A671" w14:textId="77777777" w:rsidR="004E5E03" w:rsidRPr="00FA6451" w:rsidRDefault="004E5E03" w:rsidP="004E5E03">
      <w:pPr>
        <w:tabs>
          <w:tab w:val="left" w:pos="567"/>
        </w:tabs>
        <w:ind w:left="2835" w:hanging="2835"/>
      </w:pPr>
      <w:r w:rsidRPr="00CC0E80">
        <w:rPr>
          <w:i/>
        </w:rPr>
        <w:t>P</w:t>
      </w:r>
      <w:r w:rsidRPr="00CC0E80">
        <w:rPr>
          <w:sz w:val="18"/>
        </w:rPr>
        <w:t>ss</w:t>
      </w:r>
      <w:r w:rsidRPr="00FA6451">
        <w:tab/>
        <w:t>Potencia mínima</w:t>
      </w:r>
      <w:r w:rsidRPr="00FA6451">
        <w:tab/>
        <w:t>Potencia mínima necesaria e irrenunciable de la inst</w:t>
      </w:r>
      <w:r w:rsidRPr="00FA6451">
        <w:t>a</w:t>
      </w:r>
      <w:r w:rsidRPr="00FA6451">
        <w:t>lación, porque alimenta cargas cuyo funcionamiento es esencial. También puede denominársela como pote</w:t>
      </w:r>
      <w:r w:rsidRPr="00FA6451">
        <w:t>n</w:t>
      </w:r>
      <w:r w:rsidRPr="00FA6451">
        <w:t>cia del suministro de socorro, que puede obtenerse a través de una fuente distinta, como una nueva acom</w:t>
      </w:r>
      <w:r w:rsidRPr="00FA6451">
        <w:t>e</w:t>
      </w:r>
      <w:r w:rsidRPr="00FA6451">
        <w:t>tida o un grupo electrógeno autónomo.</w:t>
      </w:r>
    </w:p>
    <w:p w14:paraId="242E232E" w14:textId="77777777" w:rsidR="004E5E03" w:rsidRPr="00FA6451" w:rsidRDefault="004E5E03" w:rsidP="004E5E03">
      <w:r w:rsidRPr="00FA6451">
        <w:t xml:space="preserve">Se cumplirá en general que </w:t>
      </w:r>
    </w:p>
    <w:p w14:paraId="1908654B" w14:textId="77777777" w:rsidR="004E5E03" w:rsidRPr="00FA6451" w:rsidRDefault="004E5E03" w:rsidP="004E5E03"/>
    <w:p w14:paraId="7222AFF5" w14:textId="77777777" w:rsidR="004E5E03" w:rsidRPr="00CC0E80" w:rsidRDefault="004E5E03" w:rsidP="004E5E03">
      <w:pPr>
        <w:jc w:val="center"/>
        <w:rPr>
          <w:sz w:val="18"/>
        </w:rPr>
      </w:pPr>
      <w:r w:rsidRPr="00CC0E80">
        <w:rPr>
          <w:i/>
        </w:rPr>
        <w:t>P</w:t>
      </w:r>
      <w:r w:rsidRPr="00CC0E80">
        <w:rPr>
          <w:sz w:val="18"/>
        </w:rPr>
        <w:t xml:space="preserve">i   </w:t>
      </w:r>
      <w:r w:rsidRPr="00FA6451">
        <w:t xml:space="preserve">≥  </w:t>
      </w:r>
      <w:r w:rsidRPr="00CC0E80">
        <w:rPr>
          <w:i/>
        </w:rPr>
        <w:t>P</w:t>
      </w:r>
      <w:r w:rsidRPr="00CC0E80">
        <w:rPr>
          <w:sz w:val="18"/>
        </w:rPr>
        <w:t xml:space="preserve">sim  </w:t>
      </w:r>
      <w:r w:rsidRPr="00FA6451">
        <w:t xml:space="preserve">≥   </w:t>
      </w:r>
      <w:r w:rsidRPr="00CC0E80">
        <w:rPr>
          <w:i/>
        </w:rPr>
        <w:t>P</w:t>
      </w:r>
      <w:r w:rsidRPr="00CC0E80">
        <w:rPr>
          <w:sz w:val="18"/>
        </w:rPr>
        <w:t xml:space="preserve">ad  </w:t>
      </w:r>
      <w:r w:rsidRPr="00FA6451">
        <w:t xml:space="preserve">≥  </w:t>
      </w:r>
      <w:r w:rsidRPr="00CC0E80">
        <w:rPr>
          <w:i/>
        </w:rPr>
        <w:t>P</w:t>
      </w:r>
      <w:r w:rsidRPr="00CC0E80">
        <w:rPr>
          <w:sz w:val="18"/>
        </w:rPr>
        <w:t xml:space="preserve">ac   </w:t>
      </w:r>
      <w:r w:rsidRPr="00FA6451">
        <w:t xml:space="preserve">≥  </w:t>
      </w:r>
      <w:r w:rsidRPr="00CC0E80">
        <w:rPr>
          <w:i/>
        </w:rPr>
        <w:t>P</w:t>
      </w:r>
      <w:r w:rsidRPr="00CC0E80">
        <w:rPr>
          <w:sz w:val="18"/>
        </w:rPr>
        <w:t xml:space="preserve">c  </w:t>
      </w:r>
      <w:r w:rsidRPr="00FA6451">
        <w:t xml:space="preserve">≥   </w:t>
      </w:r>
      <w:r w:rsidRPr="00CC0E80">
        <w:rPr>
          <w:i/>
        </w:rPr>
        <w:t>P</w:t>
      </w:r>
      <w:r w:rsidRPr="00CC0E80">
        <w:rPr>
          <w:sz w:val="18"/>
        </w:rPr>
        <w:t>ss</w:t>
      </w:r>
    </w:p>
    <w:p w14:paraId="37C52F4F" w14:textId="77777777" w:rsidR="004E5E03" w:rsidRPr="00FA6451" w:rsidRDefault="004E5E03" w:rsidP="004E5E03"/>
    <w:p w14:paraId="22B4B35B" w14:textId="77777777" w:rsidR="004E5E03" w:rsidRPr="00CC0E80" w:rsidRDefault="004E5E03" w:rsidP="004E5E03">
      <w:pPr>
        <w:rPr>
          <w:smallCaps/>
        </w:rPr>
      </w:pPr>
      <w:r w:rsidRPr="00CC0E80">
        <w:rPr>
          <w:smallCaps/>
        </w:rPr>
        <w:t>Observaciones:</w:t>
      </w:r>
    </w:p>
    <w:p w14:paraId="095172BE" w14:textId="77777777" w:rsidR="004E5E03" w:rsidRPr="00CC0E80" w:rsidRDefault="004E5E03" w:rsidP="004E5E03">
      <w:pPr>
        <w:ind w:left="432"/>
        <w:rPr>
          <w:sz w:val="18"/>
        </w:rPr>
      </w:pPr>
      <w:r w:rsidRPr="00FA6451">
        <w:t xml:space="preserve">Generalmente se considerará que la potencia nominal de la instalación es </w:t>
      </w:r>
      <w:r w:rsidRPr="00CC0E80">
        <w:rPr>
          <w:i/>
        </w:rPr>
        <w:t>P</w:t>
      </w:r>
      <w:r w:rsidRPr="00CC0E80">
        <w:rPr>
          <w:sz w:val="18"/>
        </w:rPr>
        <w:t>ad.</w:t>
      </w:r>
    </w:p>
    <w:p w14:paraId="14AB9DD8" w14:textId="77777777" w:rsidR="004E5E03" w:rsidRPr="00FA6451" w:rsidRDefault="004E5E03" w:rsidP="004E5E03">
      <w:pPr>
        <w:ind w:left="432"/>
      </w:pPr>
      <w:r w:rsidRPr="00FA6451">
        <w:t>La potencia instalada se averigua por simple inspección de la placa de caract</w:t>
      </w:r>
      <w:r w:rsidRPr="00FA6451">
        <w:t>e</w:t>
      </w:r>
      <w:r w:rsidRPr="00FA6451">
        <w:t>rísticas de cada receptor, o bien por un método similar.</w:t>
      </w:r>
    </w:p>
    <w:p w14:paraId="16D33180" w14:textId="77777777" w:rsidR="004E5E03" w:rsidRPr="00CC0E80" w:rsidRDefault="004E5E03" w:rsidP="004E5E03">
      <w:pPr>
        <w:ind w:left="432"/>
      </w:pPr>
      <w:r w:rsidRPr="00FA6451">
        <w:t>La potencia simultánea es un parámetro difícil de determinar en muchas ocasi</w:t>
      </w:r>
      <w:r w:rsidRPr="00FA6451">
        <w:t>o</w:t>
      </w:r>
      <w:r w:rsidRPr="00FA6451">
        <w:t>nes. El único método válido para estimarla es reflexionar con prudencia y sens</w:t>
      </w:r>
      <w:r w:rsidRPr="00FA6451">
        <w:t>a</w:t>
      </w:r>
      <w:r w:rsidRPr="00FA6451">
        <w:t>tez qué suministros deben ser necesariamente alimentados a la vez por la inst</w:t>
      </w:r>
      <w:r w:rsidRPr="00FA6451">
        <w:t>a</w:t>
      </w:r>
      <w:r w:rsidRPr="00FA6451">
        <w:t>lación, es decir, cuáles resultarán necesariamente simultáneos y cuáles pueden no serlo. Cuanto más grande es una instalación, más próxima a 0.60 debería r</w:t>
      </w:r>
      <w:r w:rsidRPr="00FA6451">
        <w:t>e</w:t>
      </w:r>
      <w:r w:rsidRPr="00FA6451">
        <w:t xml:space="preserve">sultar la relación </w:t>
      </w:r>
      <w:r w:rsidRPr="00CC0E80">
        <w:rPr>
          <w:i/>
        </w:rPr>
        <w:t>P</w:t>
      </w:r>
      <w:r w:rsidRPr="00CC0E80">
        <w:rPr>
          <w:sz w:val="18"/>
        </w:rPr>
        <w:t xml:space="preserve">ad / </w:t>
      </w:r>
      <w:r w:rsidRPr="00CC0E80">
        <w:rPr>
          <w:i/>
        </w:rPr>
        <w:t>P</w:t>
      </w:r>
      <w:r w:rsidRPr="00CC0E80">
        <w:rPr>
          <w:sz w:val="18"/>
        </w:rPr>
        <w:t>i</w:t>
      </w:r>
      <w:r w:rsidRPr="00CC0E80">
        <w:t>, también conocida por coeficiente de simultaneidad. E</w:t>
      </w:r>
      <w:r w:rsidRPr="00CC0E80">
        <w:t>s</w:t>
      </w:r>
      <w:r w:rsidRPr="00CC0E80">
        <w:t>te coeficiente alcanza como mucho el valor 1.00 en aquel circuito que deba permitir la alimentación simultánea del 100% de la potencia instalada.</w:t>
      </w:r>
    </w:p>
    <w:p w14:paraId="3F1EC0A9" w14:textId="77777777" w:rsidR="004E5E03" w:rsidRPr="00CC0E80" w:rsidRDefault="004E5E03" w:rsidP="004E5E03">
      <w:pPr>
        <w:rPr>
          <w:smallCaps/>
        </w:rPr>
      </w:pPr>
    </w:p>
    <w:p w14:paraId="238A1F5D" w14:textId="77777777" w:rsidR="004E5E03" w:rsidRPr="00CC0E80" w:rsidRDefault="004E5E03" w:rsidP="004E5E03">
      <w:pPr>
        <w:rPr>
          <w:smallCaps/>
        </w:rPr>
      </w:pPr>
      <w:r w:rsidRPr="00CC0E80">
        <w:rPr>
          <w:smallCaps/>
        </w:rPr>
        <w:t>Ejemplo:</w:t>
      </w:r>
    </w:p>
    <w:p w14:paraId="04E1E657" w14:textId="77777777" w:rsidR="004E5E03" w:rsidRPr="00CC0E80" w:rsidRDefault="004E5E03" w:rsidP="004E5E03">
      <w:pPr>
        <w:ind w:left="709"/>
      </w:pPr>
      <w:r w:rsidRPr="00CC0E80">
        <w:t>Imaginemos una lista de receptores conocidos y circuitos de alimentación de receptores desconocidos, que representa una potencia instalada de 100 kW.</w:t>
      </w:r>
    </w:p>
    <w:p w14:paraId="694E49E1" w14:textId="77777777" w:rsidR="004E5E03" w:rsidRPr="00CC0E80" w:rsidRDefault="004E5E03" w:rsidP="004E5E03">
      <w:pPr>
        <w:ind w:left="709"/>
      </w:pPr>
      <w:r w:rsidRPr="00CC0E80">
        <w:t>Imaginemos que el coeficiente de simultaneidad resultante es de 0.71, obt</w:t>
      </w:r>
      <w:r w:rsidRPr="00CC0E80">
        <w:t>e</w:t>
      </w:r>
      <w:r w:rsidRPr="00CC0E80">
        <w:t>nido tras las oportunas reflexiones y plenamente justificable con criterios de sentido común.</w:t>
      </w:r>
    </w:p>
    <w:p w14:paraId="7B75385E" w14:textId="77777777" w:rsidR="004E5E03" w:rsidRPr="00CC0E80" w:rsidRDefault="004E5E03" w:rsidP="004E5E03">
      <w:pPr>
        <w:ind w:left="709"/>
      </w:pPr>
      <w:r w:rsidRPr="00CC0E80">
        <w:t>La instalación no puede funcionar con menos de 30 kW en ningún caso.</w:t>
      </w:r>
    </w:p>
    <w:p w14:paraId="5B00631C" w14:textId="77777777" w:rsidR="004E5E03" w:rsidRPr="00CC0E80" w:rsidRDefault="004E5E03" w:rsidP="004E5E03">
      <w:r w:rsidRPr="00CC0E80">
        <w:t>Tenemos entonces que:</w:t>
      </w:r>
    </w:p>
    <w:p w14:paraId="38E717D7" w14:textId="77777777" w:rsidR="004E5E03" w:rsidRPr="00FA6451" w:rsidRDefault="004E5E03" w:rsidP="004E5E03">
      <w:pPr>
        <w:tabs>
          <w:tab w:val="left" w:pos="567"/>
        </w:tabs>
        <w:ind w:left="2835" w:hanging="2835"/>
      </w:pPr>
      <w:r w:rsidRPr="00CC0E80">
        <w:rPr>
          <w:i/>
        </w:rPr>
        <w:t>P</w:t>
      </w:r>
      <w:r w:rsidRPr="00CC0E80">
        <w:rPr>
          <w:sz w:val="18"/>
        </w:rPr>
        <w:t>i</w:t>
      </w:r>
      <w:r w:rsidRPr="00FA6451">
        <w:tab/>
        <w:t>Potencia instalada</w:t>
      </w:r>
      <w:r w:rsidRPr="00FA6451">
        <w:tab/>
        <w:t>100 kW</w:t>
      </w:r>
    </w:p>
    <w:p w14:paraId="148A77D0" w14:textId="77777777" w:rsidR="004E5E03" w:rsidRPr="00CC0E80" w:rsidRDefault="004E5E03" w:rsidP="004E5E03">
      <w:pPr>
        <w:tabs>
          <w:tab w:val="left" w:pos="567"/>
        </w:tabs>
        <w:ind w:left="2835" w:hanging="2835"/>
      </w:pPr>
      <w:r w:rsidRPr="00CC0E80">
        <w:rPr>
          <w:i/>
        </w:rPr>
        <w:t>P</w:t>
      </w:r>
      <w:r w:rsidRPr="00CC0E80">
        <w:rPr>
          <w:sz w:val="18"/>
        </w:rPr>
        <w:t>sim</w:t>
      </w:r>
      <w:r w:rsidRPr="00FA6451">
        <w:tab/>
        <w:t>Potencia simultánea</w:t>
      </w:r>
      <w:r w:rsidRPr="00FA6451">
        <w:tab/>
      </w:r>
      <w:r w:rsidRPr="00CC0E80">
        <w:rPr>
          <w:i/>
        </w:rPr>
        <w:t>P</w:t>
      </w:r>
      <w:r w:rsidRPr="00CC0E80">
        <w:rPr>
          <w:sz w:val="18"/>
        </w:rPr>
        <w:t xml:space="preserve">i </w:t>
      </w:r>
      <w:r w:rsidRPr="00CC0E80">
        <w:t>x cs = 100 x 0.71 = 71 kW</w:t>
      </w:r>
    </w:p>
    <w:p w14:paraId="1F231ED6" w14:textId="6692151E" w:rsidR="004E5E03" w:rsidRPr="00FA6451" w:rsidRDefault="004E5E03" w:rsidP="004E5E03">
      <w:pPr>
        <w:tabs>
          <w:tab w:val="left" w:pos="567"/>
        </w:tabs>
        <w:ind w:left="2835" w:hanging="2835"/>
        <w:jc w:val="left"/>
      </w:pPr>
      <w:r w:rsidRPr="00CC0E80">
        <w:rPr>
          <w:i/>
        </w:rPr>
        <w:t>P</w:t>
      </w:r>
      <w:r w:rsidRPr="00CC0E80">
        <w:rPr>
          <w:sz w:val="18"/>
        </w:rPr>
        <w:t>ad</w:t>
      </w:r>
      <w:r w:rsidRPr="00FA6451">
        <w:tab/>
        <w:t>Potencia admisible</w:t>
      </w:r>
      <w:r w:rsidRPr="00FA6451">
        <w:tab/>
        <w:t>Interruptor general de 100 A (calibre comercial</w:t>
      </w:r>
      <w:r>
        <w:br/>
      </w:r>
      <w:r w:rsidRPr="004E5E03">
        <w:rPr>
          <w:position w:val="-16"/>
        </w:rPr>
        <w:object w:dxaOrig="4640" w:dyaOrig="460" w14:anchorId="646AE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32pt;height:23.35pt" o:ole="">
            <v:imagedata r:id="rId8" o:title=""/>
          </v:shape>
          <o:OLEObject Type="Embed" ProgID="Equation.3" ShapeID="_x0000_i1060" DrawAspect="Content" ObjectID="_1565286665" r:id="rId9"/>
        </w:object>
      </w:r>
    </w:p>
    <w:p w14:paraId="0DE9336A" w14:textId="77777777" w:rsidR="004E5E03" w:rsidRDefault="004E5E03" w:rsidP="004E5E03">
      <w:pPr>
        <w:ind w:left="2835" w:hanging="2835"/>
      </w:pPr>
      <w:r>
        <w:tab/>
      </w:r>
      <w:r w:rsidRPr="00FA6451">
        <w:t xml:space="preserve">El factor de simultaneidad resultante es realmente de 0.693, que es un valor próximo al deseado y que se da por bueno. </w:t>
      </w:r>
    </w:p>
    <w:p w14:paraId="63ADD9BA" w14:textId="55A98A45" w:rsidR="004E5E03" w:rsidRPr="00FA6451" w:rsidRDefault="004E5E03" w:rsidP="004E5E03">
      <w:pPr>
        <w:ind w:left="2835" w:hanging="2835"/>
      </w:pPr>
      <w:r>
        <w:tab/>
      </w:r>
      <w:r w:rsidRPr="00FA6451">
        <w:t xml:space="preserve">Los datos disponibles permiten deducir que </w:t>
      </w:r>
    </w:p>
    <w:p w14:paraId="49A6BE54" w14:textId="77777777" w:rsidR="004E5E03" w:rsidRDefault="004E5E03" w:rsidP="004E5E03">
      <w:pPr>
        <w:tabs>
          <w:tab w:val="left" w:pos="567"/>
        </w:tabs>
        <w:ind w:left="2835" w:hanging="2835"/>
      </w:pPr>
      <w:r w:rsidRPr="00CC0E80">
        <w:rPr>
          <w:i/>
        </w:rPr>
        <w:t>P</w:t>
      </w:r>
      <w:r w:rsidRPr="00CC0E80">
        <w:rPr>
          <w:sz w:val="18"/>
        </w:rPr>
        <w:t>ss</w:t>
      </w:r>
      <w:r w:rsidRPr="00FA6451">
        <w:tab/>
        <w:t>Potencia mínima</w:t>
      </w:r>
      <w:r w:rsidRPr="00FA6451">
        <w:tab/>
        <w:t>30 kW</w:t>
      </w:r>
    </w:p>
    <w:p w14:paraId="09EC6E7B" w14:textId="6A7F8ED9" w:rsidR="004E5E03" w:rsidRPr="00FA6451" w:rsidRDefault="004E5E03" w:rsidP="004E5E03">
      <w:pPr>
        <w:tabs>
          <w:tab w:val="left" w:pos="567"/>
        </w:tabs>
        <w:ind w:left="2835" w:hanging="2835"/>
      </w:pPr>
      <w:r>
        <w:tab/>
      </w:r>
      <w:r>
        <w:tab/>
      </w:r>
      <w:r w:rsidRPr="00FA6451">
        <w:t>A la compañía distribuidora habrá que solicitarle, e</w:t>
      </w:r>
      <w:r w:rsidRPr="00FA6451">
        <w:t>n</w:t>
      </w:r>
      <w:r w:rsidRPr="00FA6451">
        <w:t xml:space="preserve">tonces, </w:t>
      </w:r>
    </w:p>
    <w:p w14:paraId="76F90975" w14:textId="77777777" w:rsidR="004E5E03" w:rsidRDefault="004E5E03" w:rsidP="004E5E03">
      <w:pPr>
        <w:tabs>
          <w:tab w:val="left" w:pos="567"/>
        </w:tabs>
        <w:ind w:left="2835" w:hanging="2835"/>
      </w:pPr>
      <w:r w:rsidRPr="00CC0E80">
        <w:rPr>
          <w:i/>
        </w:rPr>
        <w:t>P</w:t>
      </w:r>
      <w:r w:rsidRPr="00CC0E80">
        <w:rPr>
          <w:sz w:val="18"/>
        </w:rPr>
        <w:t>ac</w:t>
      </w:r>
      <w:r w:rsidRPr="00FA6451">
        <w:tab/>
        <w:t>Pot. de acometida</w:t>
      </w:r>
      <w:r w:rsidRPr="00FA6451">
        <w:tab/>
        <w:t xml:space="preserve">Al menos 30 kW, y hasta un límite de 69.3 kW para hacer valer la desigualdad  </w:t>
      </w:r>
      <w:r w:rsidRPr="00CC0E80">
        <w:rPr>
          <w:i/>
        </w:rPr>
        <w:t>P</w:t>
      </w:r>
      <w:r w:rsidRPr="00CC0E80">
        <w:rPr>
          <w:sz w:val="18"/>
        </w:rPr>
        <w:t xml:space="preserve">ad  </w:t>
      </w:r>
      <w:r w:rsidRPr="00FA6451">
        <w:t xml:space="preserve">≥  </w:t>
      </w:r>
      <w:r w:rsidRPr="00CC0E80">
        <w:rPr>
          <w:i/>
        </w:rPr>
        <w:t>P</w:t>
      </w:r>
      <w:r w:rsidRPr="00CC0E80">
        <w:rPr>
          <w:sz w:val="18"/>
        </w:rPr>
        <w:t xml:space="preserve">ac  </w:t>
      </w:r>
      <w:r w:rsidRPr="00FA6451">
        <w:t xml:space="preserve">≥  </w:t>
      </w:r>
      <w:r w:rsidRPr="00CC0E80">
        <w:rPr>
          <w:i/>
        </w:rPr>
        <w:t>P</w:t>
      </w:r>
      <w:r w:rsidRPr="00CC0E80">
        <w:rPr>
          <w:sz w:val="18"/>
        </w:rPr>
        <w:t xml:space="preserve">c  </w:t>
      </w:r>
      <w:r w:rsidRPr="00FA6451">
        <w:t xml:space="preserve">≥   </w:t>
      </w:r>
      <w:r w:rsidRPr="00CC0E80">
        <w:rPr>
          <w:i/>
        </w:rPr>
        <w:t>P</w:t>
      </w:r>
      <w:r w:rsidRPr="00CC0E80">
        <w:rPr>
          <w:sz w:val="18"/>
        </w:rPr>
        <w:t>ss</w:t>
      </w:r>
      <w:r w:rsidRPr="00CC0E80">
        <w:t>.</w:t>
      </w:r>
    </w:p>
    <w:p w14:paraId="7FCABD1B" w14:textId="78EA3284" w:rsidR="004E5E03" w:rsidRPr="004E5E03" w:rsidRDefault="004E5E03" w:rsidP="004E5E03">
      <w:pPr>
        <w:tabs>
          <w:tab w:val="left" w:pos="567"/>
        </w:tabs>
        <w:ind w:left="2835" w:hanging="2835"/>
      </w:pPr>
      <w:r>
        <w:tab/>
      </w:r>
      <w:r>
        <w:tab/>
      </w:r>
      <w:r>
        <w:rPr>
          <w:rFonts w:cs="Times-Roman"/>
          <w:szCs w:val="32"/>
          <w:lang w:bidi="es-ES_tradnl"/>
        </w:rPr>
        <w:t>La potencia a contratar a la comercializadora será, pues, menor incluso de los 69.3 kW. En general es conveniente decantarse por una cifra baja, y luego ir subiendo a medida que se comprueba cómo funciona realmente la instalación y cuál es la potencia media que absorbe.</w:t>
      </w:r>
    </w:p>
    <w:p w14:paraId="1FC5A14F" w14:textId="77777777" w:rsidR="004E5E03" w:rsidRPr="00FA6451" w:rsidRDefault="004E5E03" w:rsidP="004E5E03">
      <w:r w:rsidRPr="00CC0E80">
        <w:rPr>
          <w:i/>
        </w:rPr>
        <w:t>P</w:t>
      </w:r>
      <w:r w:rsidRPr="00CC0E80">
        <w:rPr>
          <w:sz w:val="18"/>
        </w:rPr>
        <w:t>c</w:t>
      </w:r>
      <w:r w:rsidRPr="00FA6451">
        <w:tab/>
        <w:t>Pot. a contratar</w:t>
      </w:r>
      <w:r w:rsidRPr="00FA6451">
        <w:tab/>
        <w:t>60 kW inicialmente</w:t>
      </w:r>
    </w:p>
    <w:p w14:paraId="7BCA07C5" w14:textId="77777777" w:rsidR="004E5E03" w:rsidRPr="00FA6451" w:rsidRDefault="004E5E03" w:rsidP="004E5E03"/>
    <w:p w14:paraId="109919FD" w14:textId="77777777" w:rsidR="004E5E03" w:rsidRDefault="004E5E03" w:rsidP="004E5E03">
      <w:pPr>
        <w:pStyle w:val="Ttulo2"/>
        <w:rPr>
          <w:rFonts w:cs="Times-Roman"/>
          <w:szCs w:val="32"/>
          <w:lang w:bidi="es-ES_tradnl"/>
        </w:rPr>
      </w:pPr>
      <w:bookmarkStart w:id="4" w:name="_Toc491543031"/>
      <w:r>
        <w:rPr>
          <w:rFonts w:cs="Times-Roman"/>
          <w:szCs w:val="32"/>
          <w:lang w:bidi="es-ES_tradnl"/>
        </w:rPr>
        <w:t>La instrucción técnica ITC-BT 10</w:t>
      </w:r>
      <w:bookmarkEnd w:id="4"/>
    </w:p>
    <w:p w14:paraId="5C86B77B" w14:textId="77777777" w:rsidR="004E5E03" w:rsidRPr="00CC0E80" w:rsidRDefault="004E5E03" w:rsidP="004E5E03">
      <w:r w:rsidRPr="00CC0E80">
        <w:t xml:space="preserve">La ITC BT 10 orienta mínimamente sobre cómo proceder para estimar la potencia  pero no aclara cuál de todas las potencias definidas más arriba. Una interpretación del lado de la seguridad conduce a pensar que, en general, se trata de la potencia admisible </w:t>
      </w:r>
      <w:r w:rsidRPr="00CC0E80">
        <w:rPr>
          <w:i/>
        </w:rPr>
        <w:t>P</w:t>
      </w:r>
      <w:r w:rsidRPr="00CC0E80">
        <w:rPr>
          <w:sz w:val="18"/>
        </w:rPr>
        <w:t>ad</w:t>
      </w:r>
      <w:r w:rsidRPr="00CC0E80">
        <w:t xml:space="preserve">. </w:t>
      </w:r>
    </w:p>
    <w:p w14:paraId="3739C8D8" w14:textId="77777777" w:rsidR="004E5E03" w:rsidRPr="00CC0E80" w:rsidRDefault="004E5E03" w:rsidP="004E5E03">
      <w:r w:rsidRPr="00CC0E80">
        <w:t>Tratándose de viviendas los criterios son más claros. En edificios comerciales, ofic</w:t>
      </w:r>
      <w:r w:rsidRPr="00CC0E80">
        <w:t>i</w:t>
      </w:r>
      <w:r w:rsidRPr="00CC0E80">
        <w:t>nas e industrias, se proporcionan dos criterios:</w:t>
      </w:r>
    </w:p>
    <w:p w14:paraId="3EDAD42B" w14:textId="77777777" w:rsidR="004E5E03" w:rsidRPr="00CC0E80" w:rsidRDefault="004E5E03" w:rsidP="004E5E03">
      <w:pPr>
        <w:numPr>
          <w:ilvl w:val="0"/>
          <w:numId w:val="3"/>
        </w:numPr>
      </w:pPr>
      <w:r w:rsidRPr="00CC0E80">
        <w:t>El principal, que consiste en que la demanda de potencia determine la carga a prever (art. 4).</w:t>
      </w:r>
    </w:p>
    <w:p w14:paraId="6C0A5D52" w14:textId="77777777" w:rsidR="004E5E03" w:rsidRPr="00CC0E80" w:rsidRDefault="004E5E03" w:rsidP="004E5E03">
      <w:pPr>
        <w:numPr>
          <w:ilvl w:val="0"/>
          <w:numId w:val="3"/>
        </w:numPr>
      </w:pPr>
      <w:r w:rsidRPr="00CC0E80">
        <w:t>Subsidiariamente, pero actuando como mínimo, un criterio basado en la s</w:t>
      </w:r>
      <w:r w:rsidRPr="00CC0E80">
        <w:t>u</w:t>
      </w:r>
      <w:r w:rsidRPr="00CC0E80">
        <w:t>perficie de los edificios, que se aplica como baremo para estimar la capac</w:t>
      </w:r>
      <w:r w:rsidRPr="00CC0E80">
        <w:t>i</w:t>
      </w:r>
      <w:r w:rsidRPr="00CC0E80">
        <w:t>dad de los conductores de las acometidas e instalaciones de enlace (art. 5).</w:t>
      </w:r>
    </w:p>
    <w:p w14:paraId="64AAFB9D" w14:textId="77777777" w:rsidR="004E5E03" w:rsidRPr="00CC0E80" w:rsidRDefault="004E5E03" w:rsidP="004E5E03">
      <w:r w:rsidRPr="00CC0E80">
        <w:t>De manera que en instalaciones especiales el criterio fundamental es estimar la d</w:t>
      </w:r>
      <w:r w:rsidRPr="00CC0E80">
        <w:t>e</w:t>
      </w:r>
      <w:r w:rsidRPr="00CC0E80">
        <w:t>manda de potencia como se ha visto en la sección anterior, pero la línea general de alimentación o la derivación individual, más todos sus complementos (equipo de m</w:t>
      </w:r>
      <w:r w:rsidRPr="00CC0E80">
        <w:t>e</w:t>
      </w:r>
      <w:r w:rsidRPr="00CC0E80">
        <w:t>dida y caja general de protección), deberán ser capaces de soportar una carga equ</w:t>
      </w:r>
      <w:r w:rsidRPr="00CC0E80">
        <w:t>i</w:t>
      </w:r>
      <w:r w:rsidRPr="00CC0E80">
        <w:t>valente a 100 W/m</w:t>
      </w:r>
      <w:r w:rsidRPr="00CC0E80">
        <w:rPr>
          <w:vertAlign w:val="superscript"/>
        </w:rPr>
        <w:t>2</w:t>
      </w:r>
      <w:r w:rsidRPr="00CC0E80">
        <w:t xml:space="preserve"> y planta en edificios comerciales y oficinas, y 125 W/m</w:t>
      </w:r>
      <w:r w:rsidRPr="00CC0E80">
        <w:rPr>
          <w:vertAlign w:val="superscript"/>
        </w:rPr>
        <w:t>2</w:t>
      </w:r>
      <w:r w:rsidRPr="00CC0E80">
        <w:t xml:space="preserve"> y planta en edificios industriales.</w:t>
      </w:r>
    </w:p>
    <w:p w14:paraId="3B54BA56" w14:textId="77777777" w:rsidR="00C05C9D" w:rsidRDefault="00C05C9D" w:rsidP="00C05C9D">
      <w:pPr>
        <w:pStyle w:val="Ttulo1"/>
        <w:rPr>
          <w:rFonts w:cs="Times-Roman"/>
          <w:szCs w:val="32"/>
          <w:lang w:bidi="es-ES_tradnl"/>
        </w:rPr>
      </w:pPr>
      <w:r>
        <w:t xml:space="preserve">Nociones de redes de distribución en baja tensión. </w:t>
      </w:r>
      <w:r>
        <w:rPr>
          <w:rFonts w:cs="Times-Roman"/>
          <w:szCs w:val="32"/>
          <w:lang w:bidi="es-ES_tradnl"/>
        </w:rPr>
        <w:t>Acometidas eléctricas</w:t>
      </w:r>
      <w:bookmarkEnd w:id="1"/>
    </w:p>
    <w:p w14:paraId="3C7D5754" w14:textId="77777777" w:rsidR="00C05C9D" w:rsidRPr="00BD194C" w:rsidRDefault="00C05C9D" w:rsidP="00C05C9D">
      <w:r w:rsidRPr="00BD194C">
        <w:t>La red de distribución pública de energía eléctrica en baja tensión es propiedad de una empresa distribuidora autorizada, que ostenta el monopolio territorial de su zona y, por lo tanto, es la única competente para efectuar las conexiones con los equipos de protección y medida de los abonados.</w:t>
      </w:r>
    </w:p>
    <w:p w14:paraId="2F8BF314" w14:textId="77777777" w:rsidR="00C05C9D" w:rsidRPr="00BD194C" w:rsidRDefault="00C05C9D" w:rsidP="00C05C9D">
      <w:r w:rsidRPr="00BD194C">
        <w:t>En consecuencia, las redes de distribución de las citadas compañías se ejecutan, modifican y mantienen con arreglo a su normativa particular. Ello no las exime de cumplir también los objetivos del Reglamento para Baja Tensión, pero este cumpl</w:t>
      </w:r>
      <w:r w:rsidRPr="00BD194C">
        <w:t>i</w:t>
      </w:r>
      <w:r w:rsidRPr="00BD194C">
        <w:t>miento generalmente se logra ya mediante la aplicación de la normativa particular.</w:t>
      </w:r>
    </w:p>
    <w:p w14:paraId="26F91DA2" w14:textId="77777777" w:rsidR="00C05C9D" w:rsidRPr="00BD194C" w:rsidRDefault="00C05C9D" w:rsidP="00C05C9D"/>
    <w:p w14:paraId="3DF2A1C0" w14:textId="77777777" w:rsidR="00C05C9D" w:rsidRPr="00BD194C" w:rsidRDefault="00C05C9D" w:rsidP="00C05C9D">
      <w:r w:rsidRPr="00BD194C">
        <w:t xml:space="preserve">La acometida es la parte de la instalación pública de distribución en baja tensión que, perteneciendo a la empresa distribuidora, conecta directamente con la caja general de protección (CGP) de la instalación de los abonados. </w:t>
      </w:r>
    </w:p>
    <w:p w14:paraId="20340AAF" w14:textId="77777777" w:rsidR="00C05C9D" w:rsidRPr="00BD194C" w:rsidRDefault="00C05C9D" w:rsidP="00C05C9D">
      <w:r w:rsidRPr="00BD194C">
        <w:t>Puede tener forma de una línea general con entrada y salida en la CGP, en cuyo int</w:t>
      </w:r>
      <w:r w:rsidRPr="00BD194C">
        <w:t>e</w:t>
      </w:r>
      <w:r w:rsidRPr="00BD194C">
        <w:t>rior se efectúa la derivación hacia la instalación interior.</w:t>
      </w:r>
    </w:p>
    <w:p w14:paraId="078A9D71" w14:textId="77777777" w:rsidR="00C05C9D" w:rsidRPr="00BD194C" w:rsidRDefault="00C05C9D" w:rsidP="00C05C9D">
      <w:r w:rsidRPr="00BD194C">
        <w:t>Puede ser aérea o subterránea.</w:t>
      </w:r>
    </w:p>
    <w:p w14:paraId="6BC69E90" w14:textId="77777777" w:rsidR="00C05C9D" w:rsidRPr="00BD194C" w:rsidRDefault="00C05C9D" w:rsidP="00C05C9D"/>
    <w:p w14:paraId="389755DC" w14:textId="7884A7FD" w:rsidR="00C05C9D" w:rsidRDefault="00C05C9D" w:rsidP="00C05C9D">
      <w:pPr>
        <w:rPr>
          <w:sz w:val="20"/>
        </w:rPr>
      </w:pPr>
      <w:r w:rsidRPr="00BD194C">
        <w:t>Las acometidas viene definidas en la normativa particular de las empresas distribu</w:t>
      </w:r>
      <w:r w:rsidRPr="00BD194C">
        <w:t>i</w:t>
      </w:r>
      <w:r w:rsidRPr="00BD194C">
        <w:t xml:space="preserve">doras. Puede consultarse la norma Iberdrola </w:t>
      </w:r>
      <w:r w:rsidRPr="00D67566">
        <w:t>MT 2.03.20 ed 07, marzo 2004, cuyo extracto figura en el tema 1 de estos apuntes.</w:t>
      </w:r>
    </w:p>
    <w:p w14:paraId="142D9AF6" w14:textId="77777777" w:rsidR="00E46589" w:rsidRPr="00E46589" w:rsidRDefault="00E46589" w:rsidP="00C05C9D">
      <w:pPr>
        <w:rPr>
          <w:sz w:val="20"/>
        </w:rPr>
      </w:pPr>
    </w:p>
    <w:p w14:paraId="20C5BA08" w14:textId="77777777" w:rsidR="00C05C9D" w:rsidRDefault="00C05C9D" w:rsidP="00C05C9D">
      <w:pPr>
        <w:pStyle w:val="Ttulo1"/>
        <w:rPr>
          <w:rFonts w:cs="Times-Roman"/>
          <w:szCs w:val="32"/>
          <w:lang w:bidi="es-ES_tradnl"/>
        </w:rPr>
      </w:pPr>
      <w:bookmarkStart w:id="5" w:name="_Toc491543023"/>
      <w:r>
        <w:rPr>
          <w:rFonts w:cs="Times-Roman"/>
          <w:szCs w:val="32"/>
          <w:lang w:bidi="es-ES_tradnl"/>
        </w:rPr>
        <w:t>Cajas generales de protección. Línea general de alimentación. Equipos de medida. Derivaciones individuales</w:t>
      </w:r>
      <w:bookmarkEnd w:id="5"/>
    </w:p>
    <w:p w14:paraId="5C7E87F7" w14:textId="77777777" w:rsidR="00C05C9D" w:rsidRPr="008E62AF" w:rsidRDefault="00C05C9D" w:rsidP="00C05C9D"/>
    <w:p w14:paraId="7D32FE5F" w14:textId="77777777" w:rsidR="00C05C9D" w:rsidRPr="008E62AF" w:rsidRDefault="00C05C9D" w:rsidP="00C05C9D">
      <w:r w:rsidRPr="008E62AF">
        <w:t xml:space="preserve">Estos elementos definen las </w:t>
      </w:r>
      <w:r w:rsidRPr="008E62AF">
        <w:rPr>
          <w:i/>
        </w:rPr>
        <w:t>instalaciones de enlace</w:t>
      </w:r>
      <w:r w:rsidRPr="008E62AF">
        <w:t xml:space="preserve"> que hay que consultar en las ITCs del Reglamento números 12 y siguientes.</w:t>
      </w:r>
    </w:p>
    <w:p w14:paraId="28557514" w14:textId="77777777" w:rsidR="00C05C9D" w:rsidRPr="008E62AF" w:rsidRDefault="00C05C9D" w:rsidP="00C05C9D">
      <w:r w:rsidRPr="008E62AF">
        <w:t>Sin embargo, existen varias Guías Técnicas de aplicación sobre instalaciones de enlace, las Guía-BT-12 a Guía-BT-16, a partir de las cuales deben estudiarse estos elementos generales de cualquier instalación.</w:t>
      </w:r>
    </w:p>
    <w:p w14:paraId="71794FC3" w14:textId="77777777" w:rsidR="00C05C9D" w:rsidRPr="008E62AF" w:rsidRDefault="00C05C9D" w:rsidP="00C05C9D"/>
    <w:p w14:paraId="55F5E154" w14:textId="77777777" w:rsidR="00C05C9D" w:rsidRPr="003B7484" w:rsidRDefault="00C05C9D" w:rsidP="00C05C9D">
      <w:pPr>
        <w:spacing w:before="0"/>
        <w:ind w:left="2268" w:hanging="1701"/>
        <w:rPr>
          <w:rFonts w:cs="ArialMT"/>
          <w:color w:val="800080"/>
          <w:szCs w:val="18"/>
          <w:lang w:bidi="es-ES_tradnl"/>
        </w:rPr>
      </w:pPr>
      <w:r w:rsidRPr="003B7484">
        <w:rPr>
          <w:rFonts w:cs="ArialMT"/>
          <w:color w:val="800080"/>
          <w:szCs w:val="18"/>
          <w:lang w:bidi="es-ES_tradnl"/>
        </w:rPr>
        <w:t>Guía-BT-12</w:t>
      </w:r>
      <w:r w:rsidRPr="003B7484">
        <w:rPr>
          <w:rFonts w:cs="ArialMT"/>
          <w:color w:val="800080"/>
          <w:szCs w:val="18"/>
          <w:lang w:bidi="es-ES_tradnl"/>
        </w:rPr>
        <w:tab/>
        <w:t>Instalaciones de enlace. Esquemas</w:t>
      </w:r>
    </w:p>
    <w:p w14:paraId="54D22629" w14:textId="77777777" w:rsidR="00C05C9D" w:rsidRPr="003B7484" w:rsidRDefault="00C05C9D" w:rsidP="00C05C9D">
      <w:pPr>
        <w:spacing w:before="0"/>
        <w:ind w:left="2268" w:hanging="1701"/>
        <w:rPr>
          <w:rFonts w:cs="ArialMT"/>
          <w:color w:val="800080"/>
          <w:szCs w:val="18"/>
          <w:lang w:bidi="es-ES_tradnl"/>
        </w:rPr>
      </w:pPr>
      <w:r w:rsidRPr="003B7484">
        <w:rPr>
          <w:rFonts w:cs="ArialMT"/>
          <w:color w:val="800080"/>
          <w:szCs w:val="18"/>
          <w:lang w:bidi="es-ES_tradnl"/>
        </w:rPr>
        <w:t>Guía -BT-13</w:t>
      </w:r>
      <w:r w:rsidRPr="003B7484">
        <w:rPr>
          <w:rFonts w:cs="ArialMT"/>
          <w:color w:val="800080"/>
          <w:szCs w:val="18"/>
          <w:lang w:bidi="es-ES_tradnl"/>
        </w:rPr>
        <w:tab/>
        <w:t>Instalaciones de enlace. Cajas generales de protección</w:t>
      </w:r>
    </w:p>
    <w:p w14:paraId="1D0EDA26" w14:textId="77777777" w:rsidR="00C05C9D" w:rsidRPr="003B7484" w:rsidRDefault="00C05C9D" w:rsidP="00C05C9D">
      <w:pPr>
        <w:spacing w:before="0"/>
        <w:ind w:left="2268" w:hanging="1701"/>
        <w:rPr>
          <w:rFonts w:cs="ArialMT"/>
          <w:color w:val="800080"/>
          <w:szCs w:val="18"/>
          <w:lang w:bidi="es-ES_tradnl"/>
        </w:rPr>
      </w:pPr>
      <w:r w:rsidRPr="003B7484">
        <w:rPr>
          <w:rFonts w:cs="ArialMT"/>
          <w:color w:val="800080"/>
          <w:szCs w:val="18"/>
          <w:lang w:bidi="es-ES_tradnl"/>
        </w:rPr>
        <w:t>Guía -BT-14</w:t>
      </w:r>
      <w:r w:rsidRPr="003B7484">
        <w:rPr>
          <w:rFonts w:cs="ArialMT"/>
          <w:color w:val="800080"/>
          <w:szCs w:val="18"/>
          <w:lang w:bidi="es-ES_tradnl"/>
        </w:rPr>
        <w:tab/>
        <w:t>Instalaciones de enlace. Línea general de alimentación</w:t>
      </w:r>
    </w:p>
    <w:p w14:paraId="5DD3A2D1" w14:textId="77777777" w:rsidR="00C05C9D" w:rsidRPr="003B7484" w:rsidRDefault="00C05C9D" w:rsidP="00C05C9D">
      <w:pPr>
        <w:spacing w:before="0"/>
        <w:ind w:left="2268" w:hanging="1701"/>
        <w:rPr>
          <w:rFonts w:cs="ArialMT"/>
          <w:color w:val="800080"/>
          <w:szCs w:val="18"/>
          <w:lang w:bidi="es-ES_tradnl"/>
        </w:rPr>
      </w:pPr>
      <w:r w:rsidRPr="003B7484">
        <w:rPr>
          <w:rFonts w:cs="ArialMT"/>
          <w:color w:val="800080"/>
          <w:szCs w:val="18"/>
          <w:lang w:bidi="es-ES_tradnl"/>
        </w:rPr>
        <w:t>Guía -BT-15</w:t>
      </w:r>
      <w:r w:rsidRPr="003B7484">
        <w:rPr>
          <w:rFonts w:cs="ArialMT"/>
          <w:color w:val="800080"/>
          <w:szCs w:val="18"/>
          <w:lang w:bidi="es-ES_tradnl"/>
        </w:rPr>
        <w:tab/>
        <w:t>Instalaciones de enlace. Derivaciones individuales</w:t>
      </w:r>
    </w:p>
    <w:p w14:paraId="1B1A22EA" w14:textId="77777777" w:rsidR="00C05C9D" w:rsidRPr="003B7484" w:rsidRDefault="00C05C9D" w:rsidP="00C05C9D">
      <w:pPr>
        <w:spacing w:before="0"/>
        <w:ind w:left="2268" w:hanging="1701"/>
        <w:rPr>
          <w:rFonts w:cs="ArialMT"/>
          <w:color w:val="800080"/>
          <w:szCs w:val="18"/>
          <w:lang w:bidi="es-ES_tradnl"/>
        </w:rPr>
      </w:pPr>
      <w:r w:rsidRPr="003B7484">
        <w:rPr>
          <w:rFonts w:cs="ArialMT"/>
          <w:color w:val="800080"/>
          <w:szCs w:val="18"/>
          <w:lang w:bidi="es-ES_tradnl"/>
        </w:rPr>
        <w:t>Guía -BT-16</w:t>
      </w:r>
      <w:r w:rsidRPr="003B7484">
        <w:rPr>
          <w:rFonts w:cs="ArialMT"/>
          <w:color w:val="800080"/>
          <w:szCs w:val="18"/>
          <w:lang w:bidi="es-ES_tradnl"/>
        </w:rPr>
        <w:tab/>
        <w:t>Instalaciones de enlace. Contadores: Ubicación y sistemas de instalación</w:t>
      </w:r>
      <w:bookmarkStart w:id="6" w:name="_GoBack"/>
      <w:bookmarkEnd w:id="6"/>
    </w:p>
    <w:p w14:paraId="54BA2F91" w14:textId="77777777" w:rsidR="00C05C9D" w:rsidRDefault="00836E5C" w:rsidP="00C05C9D">
      <w:pPr>
        <w:jc w:val="center"/>
      </w:pPr>
      <w:r>
        <w:rPr>
          <w:noProof/>
          <w:lang w:val="es-ES"/>
        </w:rPr>
        <w:drawing>
          <wp:inline distT="0" distB="0" distL="0" distR="0" wp14:anchorId="7FCA75E3" wp14:editId="0A37F709">
            <wp:extent cx="5004435" cy="46231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4728" cy="4623461"/>
                    </a:xfrm>
                    <a:prstGeom prst="rect">
                      <a:avLst/>
                    </a:prstGeom>
                    <a:noFill/>
                    <a:ln>
                      <a:noFill/>
                    </a:ln>
                  </pic:spPr>
                </pic:pic>
              </a:graphicData>
            </a:graphic>
          </wp:inline>
        </w:drawing>
      </w:r>
    </w:p>
    <w:p w14:paraId="05BFAF3C" w14:textId="77777777" w:rsidR="00C05C9D" w:rsidRDefault="00C05C9D" w:rsidP="00C05C9D">
      <w:pPr>
        <w:jc w:val="center"/>
      </w:pPr>
    </w:p>
    <w:p w14:paraId="25B2574E" w14:textId="77777777" w:rsidR="00C05C9D" w:rsidRPr="008E62AF" w:rsidRDefault="00836E5C" w:rsidP="00C05C9D">
      <w:pPr>
        <w:jc w:val="center"/>
      </w:pPr>
      <w:r>
        <w:rPr>
          <w:noProof/>
          <w:lang w:val="es-ES"/>
        </w:rPr>
        <w:drawing>
          <wp:inline distT="0" distB="0" distL="0" distR="0" wp14:anchorId="0F26E313" wp14:editId="61E214FC">
            <wp:extent cx="3132455" cy="40722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2455" cy="4072255"/>
                    </a:xfrm>
                    <a:prstGeom prst="rect">
                      <a:avLst/>
                    </a:prstGeom>
                    <a:noFill/>
                    <a:ln>
                      <a:noFill/>
                    </a:ln>
                  </pic:spPr>
                </pic:pic>
              </a:graphicData>
            </a:graphic>
          </wp:inline>
        </w:drawing>
      </w:r>
    </w:p>
    <w:p w14:paraId="45CC2241" w14:textId="78C5FD22" w:rsidR="00C05C9D" w:rsidRDefault="00C05C9D" w:rsidP="00C05C9D">
      <w:pPr>
        <w:pStyle w:val="Ttulo1"/>
        <w:rPr>
          <w:rFonts w:cs="Times-Roman"/>
          <w:szCs w:val="32"/>
          <w:lang w:bidi="es-ES_tradnl"/>
        </w:rPr>
      </w:pPr>
      <w:bookmarkStart w:id="7" w:name="_Toc491543024"/>
      <w:r>
        <w:rPr>
          <w:rFonts w:cs="Times-Roman"/>
          <w:szCs w:val="32"/>
          <w:lang w:bidi="es-ES_tradnl"/>
        </w:rPr>
        <w:t>Protección contra contactos directos e indirectos</w:t>
      </w:r>
      <w:bookmarkEnd w:id="7"/>
    </w:p>
    <w:p w14:paraId="5E8D08E5" w14:textId="77777777" w:rsidR="00631568" w:rsidRPr="00631568" w:rsidRDefault="00631568" w:rsidP="00631568"/>
    <w:p w14:paraId="434AE610" w14:textId="77777777" w:rsidR="00C05C9D" w:rsidRDefault="00836E5C" w:rsidP="00C05C9D">
      <w:pPr>
        <w:jc w:val="center"/>
      </w:pPr>
      <w:r>
        <w:rPr>
          <w:noProof/>
          <w:lang w:val="es-ES"/>
        </w:rPr>
        <w:drawing>
          <wp:inline distT="0" distB="0" distL="0" distR="0" wp14:anchorId="394BF385" wp14:editId="31CA0557">
            <wp:extent cx="3208655" cy="443674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8655" cy="4436745"/>
                    </a:xfrm>
                    <a:prstGeom prst="rect">
                      <a:avLst/>
                    </a:prstGeom>
                    <a:noFill/>
                    <a:ln>
                      <a:noFill/>
                    </a:ln>
                  </pic:spPr>
                </pic:pic>
              </a:graphicData>
            </a:graphic>
          </wp:inline>
        </w:drawing>
      </w:r>
    </w:p>
    <w:p w14:paraId="2B68D479" w14:textId="77777777" w:rsidR="00C05C9D" w:rsidRDefault="00C05C9D" w:rsidP="00C05C9D">
      <w:pPr>
        <w:pStyle w:val="Ttulo2"/>
      </w:pPr>
      <w:bookmarkStart w:id="8" w:name="_Toc491543025"/>
      <w:r>
        <w:t>Protección por corte automático de la alimentación</w:t>
      </w:r>
      <w:bookmarkEnd w:id="8"/>
    </w:p>
    <w:p w14:paraId="6FABE592" w14:textId="77777777" w:rsidR="00C05C9D" w:rsidRPr="00FA6451" w:rsidRDefault="00C05C9D" w:rsidP="00C05C9D">
      <w:r w:rsidRPr="00FA6451">
        <w:t>Uno de los sistemas para proteger a las personas frente a contactos directos y frente a contactos indirectos es el corte automático de la alimentación.</w:t>
      </w:r>
    </w:p>
    <w:p w14:paraId="3092F40C" w14:textId="77777777" w:rsidR="00C05C9D" w:rsidRPr="00FA6451" w:rsidRDefault="00C05C9D" w:rsidP="00C05C9D">
      <w:pPr>
        <w:pStyle w:val="Ttulo3"/>
      </w:pPr>
      <w:bookmarkStart w:id="9" w:name="_Toc491543026"/>
      <w:r w:rsidRPr="00FA6451">
        <w:t>Co</w:t>
      </w:r>
      <w:r>
        <w:t>rtocircuitos y sobrecarga</w:t>
      </w:r>
      <w:r w:rsidRPr="00FA6451">
        <w:t>s</w:t>
      </w:r>
      <w:bookmarkEnd w:id="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495"/>
        <w:gridCol w:w="2726"/>
      </w:tblGrid>
      <w:tr w:rsidR="00C05C9D" w:rsidRPr="00FA6451" w14:paraId="02120D1D" w14:textId="77777777">
        <w:tc>
          <w:tcPr>
            <w:tcW w:w="5495" w:type="dxa"/>
          </w:tcPr>
          <w:p w14:paraId="10A93A51" w14:textId="77777777" w:rsidR="00C05C9D" w:rsidRDefault="00C05C9D" w:rsidP="00C05C9D">
            <w:r>
              <w:t>Tanto un contacto directo como uno indirecto pueden causar una sobreintensidad similar a la de cualquier sobrecarga e incluso a la de un cortocircuito.</w:t>
            </w:r>
          </w:p>
          <w:p w14:paraId="472EF39E" w14:textId="77777777" w:rsidR="00C05C9D" w:rsidRPr="00FA6451" w:rsidRDefault="00C05C9D" w:rsidP="00C05C9D">
            <w:r>
              <w:t>Para el corte automático de la alimentación en esos casos s</w:t>
            </w:r>
            <w:r w:rsidRPr="00FA6451">
              <w:t>e emplean interruptores automáticos de tipo magnetotérmico, del número de polos, calibre, capac</w:t>
            </w:r>
            <w:r w:rsidRPr="00FA6451">
              <w:t>i</w:t>
            </w:r>
            <w:r w:rsidRPr="00FA6451">
              <w:t>dad de corte y curva de disparo adecuados. En mont</w:t>
            </w:r>
            <w:r w:rsidRPr="00FA6451">
              <w:t>a</w:t>
            </w:r>
            <w:r w:rsidRPr="00FA6451">
              <w:t xml:space="preserve">je </w:t>
            </w:r>
            <w:r>
              <w:t>en</w:t>
            </w:r>
            <w:r w:rsidRPr="00FA6451">
              <w:t xml:space="preserve"> carril DIN ocupan desde 1 a 4 módulos</w:t>
            </w:r>
            <w:r>
              <w:t xml:space="preserve"> de ancho</w:t>
            </w:r>
            <w:r w:rsidRPr="00FA6451">
              <w:t>.</w:t>
            </w:r>
          </w:p>
          <w:p w14:paraId="6F44C518" w14:textId="77777777" w:rsidR="00C05C9D" w:rsidRPr="00FA6451" w:rsidRDefault="00C05C9D" w:rsidP="00C05C9D">
            <w:r w:rsidRPr="00FA6451">
              <w:t>El nombre indica que en su comportamiento, que qu</w:t>
            </w:r>
            <w:r w:rsidRPr="00FA6451">
              <w:t>e</w:t>
            </w:r>
            <w:r w:rsidRPr="00FA6451">
              <w:t>da puesto de manifiesto por sus curvas de disparo, hay siempre dos componentes: el magnético y el térmico.</w:t>
            </w:r>
          </w:p>
        </w:tc>
        <w:tc>
          <w:tcPr>
            <w:tcW w:w="2726" w:type="dxa"/>
          </w:tcPr>
          <w:p w14:paraId="3C4A1B9C" w14:textId="77777777" w:rsidR="00C05C9D" w:rsidRPr="00FA6451" w:rsidRDefault="00836E5C" w:rsidP="00C05C9D">
            <w:r>
              <w:rPr>
                <w:noProof/>
                <w:lang w:val="es-ES"/>
              </w:rPr>
              <w:drawing>
                <wp:inline distT="0" distB="0" distL="0" distR="0" wp14:anchorId="2E3BB425" wp14:editId="437ACB9A">
                  <wp:extent cx="1566545" cy="1566545"/>
                  <wp:effectExtent l="0" t="0" r="825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6545" cy="1566545"/>
                          </a:xfrm>
                          <a:prstGeom prst="rect">
                            <a:avLst/>
                          </a:prstGeom>
                          <a:noFill/>
                          <a:ln>
                            <a:noFill/>
                          </a:ln>
                        </pic:spPr>
                      </pic:pic>
                    </a:graphicData>
                  </a:graphic>
                </wp:inline>
              </w:drawing>
            </w:r>
          </w:p>
        </w:tc>
      </w:tr>
    </w:tbl>
    <w:p w14:paraId="098DB20F" w14:textId="77777777" w:rsidR="00C05C9D" w:rsidRPr="00FA6451" w:rsidRDefault="00C05C9D" w:rsidP="00C05C9D"/>
    <w:tbl>
      <w:tblPr>
        <w:tblStyle w:val="Tablaconcuadrcula"/>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987"/>
        <w:gridCol w:w="1567"/>
        <w:gridCol w:w="3918"/>
      </w:tblGrid>
      <w:tr w:rsidR="00C05C9D" w14:paraId="484283D9" w14:textId="77777777" w:rsidTr="00C05C9D">
        <w:tc>
          <w:tcPr>
            <w:tcW w:w="2987" w:type="dxa"/>
          </w:tcPr>
          <w:p w14:paraId="1BF4967C" w14:textId="77777777" w:rsidR="00C05C9D" w:rsidRPr="00FA6451" w:rsidRDefault="00C05C9D" w:rsidP="00C05C9D">
            <w:r w:rsidRPr="00FA6451">
              <w:t>El componente magnético es esencialmente un dispositivo inductivo, como un tran</w:t>
            </w:r>
            <w:r w:rsidRPr="00FA6451">
              <w:t>s</w:t>
            </w:r>
            <w:r w:rsidRPr="00FA6451">
              <w:t>formador, que ofrece una potencia eléctrica proporci</w:t>
            </w:r>
            <w:r w:rsidRPr="00FA6451">
              <w:t>o</w:t>
            </w:r>
            <w:r w:rsidRPr="00FA6451">
              <w:t>nal a la intensidad del hilo supervisado. Esta potencia es suficiente para hacer sa</w:t>
            </w:r>
            <w:r w:rsidRPr="00FA6451">
              <w:t>l</w:t>
            </w:r>
            <w:r w:rsidRPr="00FA6451">
              <w:t xml:space="preserve">tar el resorte que traba los contactos del interruptor integrado y que los hace abrir de golpe. </w:t>
            </w:r>
          </w:p>
          <w:p w14:paraId="113DE3E3" w14:textId="77777777" w:rsidR="00C05C9D" w:rsidRDefault="00C05C9D" w:rsidP="00C05C9D">
            <w:r w:rsidRPr="00FA6451">
              <w:t>El componente térmico es similar a un bimetal que, por calentamiento debido a la intensidad del hilo superv</w:t>
            </w:r>
            <w:r w:rsidRPr="00FA6451">
              <w:t>i</w:t>
            </w:r>
            <w:r w:rsidRPr="00FA6451">
              <w:t>sado, acaba liberando el mismo resorte de antes, abriendo también de golpe el circuito.</w:t>
            </w:r>
          </w:p>
        </w:tc>
        <w:tc>
          <w:tcPr>
            <w:tcW w:w="5485" w:type="dxa"/>
            <w:gridSpan w:val="2"/>
          </w:tcPr>
          <w:p w14:paraId="0E5C45AF" w14:textId="77777777" w:rsidR="00C05C9D" w:rsidRDefault="00836E5C" w:rsidP="00C05C9D">
            <w:pPr>
              <w:jc w:val="right"/>
            </w:pPr>
            <w:r>
              <w:rPr>
                <w:noProof/>
                <w:lang w:val="es-ES"/>
              </w:rPr>
              <w:drawing>
                <wp:inline distT="0" distB="0" distL="0" distR="0" wp14:anchorId="58E1BCD1" wp14:editId="67159103">
                  <wp:extent cx="2929043" cy="2535960"/>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9043" cy="2535960"/>
                          </a:xfrm>
                          <a:prstGeom prst="rect">
                            <a:avLst/>
                          </a:prstGeom>
                          <a:noFill/>
                          <a:ln>
                            <a:noFill/>
                          </a:ln>
                        </pic:spPr>
                      </pic:pic>
                    </a:graphicData>
                  </a:graphic>
                </wp:inline>
              </w:drawing>
            </w:r>
          </w:p>
          <w:p w14:paraId="04EA0DFA" w14:textId="77777777" w:rsidR="00C05C9D" w:rsidRDefault="00C05C9D" w:rsidP="00C05C9D">
            <w:pPr>
              <w:jc w:val="right"/>
            </w:pPr>
          </w:p>
          <w:p w14:paraId="2226DEEA" w14:textId="77777777" w:rsidR="00C05C9D" w:rsidRDefault="00C05C9D" w:rsidP="00C05C9D">
            <w:pPr>
              <w:jc w:val="right"/>
            </w:pPr>
            <w:r w:rsidRPr="00FA6451">
              <w:rPr>
                <w:sz w:val="18"/>
              </w:rPr>
              <w:t>Detalles de funcionamiento y composición interna de un interruptor automático magnetotérmico. Extraído de http://www.tuveras.com/aparamenta/magnetotermico.htm</w:t>
            </w:r>
          </w:p>
        </w:tc>
      </w:tr>
      <w:tr w:rsidR="00C05C9D" w14:paraId="7FB51D47" w14:textId="77777777" w:rsidTr="00C05C9D">
        <w:tc>
          <w:tcPr>
            <w:tcW w:w="4554" w:type="dxa"/>
            <w:gridSpan w:val="2"/>
          </w:tcPr>
          <w:p w14:paraId="3AC8ECF1" w14:textId="77777777" w:rsidR="00C05C9D" w:rsidRPr="00FA6451" w:rsidRDefault="00836E5C" w:rsidP="00C05C9D">
            <w:r>
              <w:rPr>
                <w:noProof/>
                <w:lang w:val="es-ES"/>
              </w:rPr>
              <w:drawing>
                <wp:inline distT="0" distB="0" distL="0" distR="0" wp14:anchorId="4169204B" wp14:editId="7908AEEA">
                  <wp:extent cx="685800" cy="13544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1354455"/>
                          </a:xfrm>
                          <a:prstGeom prst="rect">
                            <a:avLst/>
                          </a:prstGeom>
                          <a:noFill/>
                          <a:ln>
                            <a:noFill/>
                          </a:ln>
                        </pic:spPr>
                      </pic:pic>
                    </a:graphicData>
                  </a:graphic>
                </wp:inline>
              </w:drawing>
            </w:r>
            <w:r w:rsidR="00C05C9D" w:rsidRPr="00F2264D">
              <w:t xml:space="preserve">        </w:t>
            </w:r>
            <w:r>
              <w:rPr>
                <w:noProof/>
                <w:lang w:val="es-ES"/>
              </w:rPr>
              <w:drawing>
                <wp:inline distT="0" distB="0" distL="0" distR="0" wp14:anchorId="5D2B46C2" wp14:editId="60467523">
                  <wp:extent cx="1354455" cy="127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4455" cy="1270000"/>
                          </a:xfrm>
                          <a:prstGeom prst="rect">
                            <a:avLst/>
                          </a:prstGeom>
                          <a:noFill/>
                          <a:ln>
                            <a:noFill/>
                          </a:ln>
                        </pic:spPr>
                      </pic:pic>
                    </a:graphicData>
                  </a:graphic>
                </wp:inline>
              </w:drawing>
            </w:r>
          </w:p>
        </w:tc>
        <w:tc>
          <w:tcPr>
            <w:tcW w:w="3918" w:type="dxa"/>
          </w:tcPr>
          <w:p w14:paraId="4936B843" w14:textId="77777777" w:rsidR="00C05C9D" w:rsidRDefault="00C05C9D" w:rsidP="00C05C9D">
            <w:r>
              <w:t xml:space="preserve">La representación normalizada lleva una indicación del disparo térmico (onda cuadrada) y magnético (onda semicircular). </w:t>
            </w:r>
          </w:p>
          <w:p w14:paraId="5347AC98" w14:textId="77777777" w:rsidR="00C05C9D" w:rsidRDefault="00C05C9D" w:rsidP="00C05C9D">
            <w:r>
              <w:t>Caben otras representaciones, como la unifilar, donde además se incluyen las características de cada aparato.</w:t>
            </w:r>
          </w:p>
        </w:tc>
      </w:tr>
      <w:tr w:rsidR="00C05C9D" w14:paraId="50C9268B" w14:textId="77777777" w:rsidTr="00C05C9D">
        <w:tc>
          <w:tcPr>
            <w:tcW w:w="4554" w:type="dxa"/>
            <w:gridSpan w:val="2"/>
          </w:tcPr>
          <w:p w14:paraId="623139BB" w14:textId="77777777" w:rsidR="00C05C9D" w:rsidRDefault="00C05C9D" w:rsidP="00C05C9D">
            <w:r>
              <w:t>El tiempo de respuesta de los interruptores se determina a partir de gráficas en escala bi-logarítmica que están normalizadas en EN 60898 y se reconocen por letras.</w:t>
            </w:r>
          </w:p>
          <w:p w14:paraId="1580AE67" w14:textId="77777777" w:rsidR="00C05C9D" w:rsidRDefault="00C05C9D" w:rsidP="00C05C9D">
            <w:pPr>
              <w:ind w:left="1276" w:hanging="1276"/>
            </w:pPr>
            <w:r>
              <w:t xml:space="preserve">Curva C: </w:t>
            </w:r>
            <w:r>
              <w:tab/>
              <w:t>curva de referencia para la pr</w:t>
            </w:r>
            <w:r>
              <w:t>o</w:t>
            </w:r>
            <w:r>
              <w:t>tección general de todo tipo de receptores en instalaciones domésticas, terciarias e indu</w:t>
            </w:r>
            <w:r>
              <w:t>s</w:t>
            </w:r>
            <w:r>
              <w:t>triales.</w:t>
            </w:r>
          </w:p>
          <w:p w14:paraId="04AF5560" w14:textId="77777777" w:rsidR="00C05C9D" w:rsidRDefault="00C05C9D" w:rsidP="00C05C9D">
            <w:pPr>
              <w:ind w:left="1276" w:hanging="1276"/>
            </w:pPr>
            <w:r>
              <w:t>Curva D:</w:t>
            </w:r>
            <w:r>
              <w:tab/>
              <w:t>suele utilizarse para protección de motores por implicar tie</w:t>
            </w:r>
            <w:r>
              <w:t>m</w:t>
            </w:r>
            <w:r>
              <w:t>pos de respuesta más largos a pequeñas intensidades (como las del arranque).</w:t>
            </w:r>
          </w:p>
          <w:p w14:paraId="556B00F1" w14:textId="77777777" w:rsidR="00C05C9D" w:rsidRDefault="00C05C9D" w:rsidP="00C05C9D">
            <w:pPr>
              <w:ind w:left="1276" w:hanging="1276"/>
            </w:pPr>
            <w:r>
              <w:t>Curva B:</w:t>
            </w:r>
            <w:r>
              <w:tab/>
              <w:t>para la protección de equipos delicados.</w:t>
            </w:r>
          </w:p>
        </w:tc>
        <w:tc>
          <w:tcPr>
            <w:tcW w:w="3918" w:type="dxa"/>
          </w:tcPr>
          <w:p w14:paraId="050FF8D1" w14:textId="77777777" w:rsidR="00C05C9D" w:rsidRDefault="00836E5C" w:rsidP="00C05C9D">
            <w:pPr>
              <w:jc w:val="right"/>
            </w:pPr>
            <w:r>
              <w:rPr>
                <w:noProof/>
                <w:lang w:val="es-ES"/>
              </w:rPr>
              <w:drawing>
                <wp:inline distT="0" distB="0" distL="0" distR="0" wp14:anchorId="0A08B8CD" wp14:editId="0BA65855">
                  <wp:extent cx="2252345" cy="310705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2345" cy="3107055"/>
                          </a:xfrm>
                          <a:prstGeom prst="rect">
                            <a:avLst/>
                          </a:prstGeom>
                          <a:noFill/>
                          <a:ln>
                            <a:noFill/>
                          </a:ln>
                        </pic:spPr>
                      </pic:pic>
                    </a:graphicData>
                  </a:graphic>
                </wp:inline>
              </w:drawing>
            </w:r>
          </w:p>
        </w:tc>
      </w:tr>
    </w:tbl>
    <w:p w14:paraId="4FD87A50" w14:textId="77777777" w:rsidR="00C05C9D" w:rsidRDefault="00C05C9D" w:rsidP="00C05C9D">
      <w:r>
        <w:t>La identificación de los magnetotérmicos requiere indicar:</w:t>
      </w:r>
    </w:p>
    <w:p w14:paraId="3ED92468" w14:textId="77777777" w:rsidR="00C05C9D" w:rsidRDefault="00C05C9D" w:rsidP="00C05C9D">
      <w:pPr>
        <w:ind w:left="2268" w:hanging="2268"/>
      </w:pPr>
      <w:r>
        <w:t xml:space="preserve">- Número de polos: </w:t>
      </w:r>
      <w:r>
        <w:tab/>
        <w:t>para expresar cuántos hilos son supervisados por el interru</w:t>
      </w:r>
      <w:r>
        <w:t>p</w:t>
      </w:r>
      <w:r>
        <w:t>tor. Las posibilidades van de uno a cuatro, con las siguientes variantes: I+N, II, III, III+N, IV.</w:t>
      </w:r>
    </w:p>
    <w:p w14:paraId="2B567F5A" w14:textId="77777777" w:rsidR="00C05C9D" w:rsidRDefault="00C05C9D" w:rsidP="00C05C9D">
      <w:pPr>
        <w:ind w:left="2268" w:hanging="2268"/>
      </w:pPr>
      <w:r>
        <w:t>- Intensidad nominal:</w:t>
      </w:r>
      <w:r>
        <w:tab/>
        <w:t xml:space="preserve">aunque hay muchos calibres disponibles, sólo aquellos con elevado grado de utilización (demanda) tienen un precio realmente interesante. </w:t>
      </w:r>
    </w:p>
    <w:p w14:paraId="306063CE" w14:textId="77777777" w:rsidR="00C05C9D" w:rsidRDefault="00C05C9D" w:rsidP="00C05C9D">
      <w:pPr>
        <w:ind w:left="2268" w:hanging="2268"/>
      </w:pPr>
      <w:r>
        <w:tab/>
        <w:t>Calibres disponibles: 6, 10, 16, 20, 25, 32, 40, 50, 63 A.</w:t>
      </w:r>
    </w:p>
    <w:p w14:paraId="7CE1B3F1" w14:textId="77777777" w:rsidR="00C05C9D" w:rsidRDefault="00C05C9D" w:rsidP="00C05C9D">
      <w:pPr>
        <w:ind w:left="2268" w:hanging="2268"/>
      </w:pPr>
      <w:r>
        <w:tab/>
        <w:t>En gama industrial: 80, 100, 125, 160, 250, 400, 630, 800 A.</w:t>
      </w:r>
    </w:p>
    <w:p w14:paraId="79C12A25" w14:textId="77777777" w:rsidR="00C05C9D" w:rsidRDefault="00C05C9D" w:rsidP="00C05C9D">
      <w:pPr>
        <w:ind w:left="2268" w:hanging="2268"/>
      </w:pPr>
      <w:r>
        <w:tab/>
        <w:t>Para altas potencias:</w:t>
      </w:r>
      <w:r>
        <w:tab/>
        <w:t xml:space="preserve"> 1000, 1250, 1600, 2500 A.</w:t>
      </w:r>
    </w:p>
    <w:p w14:paraId="027AC88D" w14:textId="77777777" w:rsidR="00C05C9D" w:rsidRDefault="00C05C9D" w:rsidP="00C05C9D">
      <w:pPr>
        <w:ind w:left="2268" w:hanging="2268"/>
      </w:pPr>
      <w:r>
        <w:t>- Curva de disparo:</w:t>
      </w:r>
      <w:r>
        <w:tab/>
        <w:t>normalmente la C, y a veces la curva D.</w:t>
      </w:r>
    </w:p>
    <w:p w14:paraId="3B6C8D7C" w14:textId="77777777" w:rsidR="00C05C9D" w:rsidRDefault="00C05C9D" w:rsidP="00C05C9D">
      <w:pPr>
        <w:ind w:left="2268" w:hanging="2268"/>
      </w:pPr>
      <w:r>
        <w:t>- Intensidad de corte:</w:t>
      </w:r>
      <w:r>
        <w:tab/>
        <w:t>los niveles normalizados son 4.5, 6, 10, 15, 30 kA.</w:t>
      </w:r>
    </w:p>
    <w:p w14:paraId="4E7C93BB" w14:textId="77777777" w:rsidR="00C05C9D" w:rsidRDefault="00C05C9D" w:rsidP="00C05C9D">
      <w:pPr>
        <w:ind w:left="2268" w:hanging="2268"/>
      </w:pPr>
      <w:r>
        <w:tab/>
        <w:t>En altas potencias hay  valores de 36, 50, 70, 150 kA.</w:t>
      </w:r>
    </w:p>
    <w:p w14:paraId="1C3C5AEE" w14:textId="77777777" w:rsidR="00C05C9D" w:rsidRDefault="00C05C9D" w:rsidP="00C05C9D">
      <w:pPr>
        <w:ind w:left="2268" w:hanging="2268"/>
      </w:pPr>
    </w:p>
    <w:p w14:paraId="527928D0" w14:textId="77777777" w:rsidR="00C05C9D" w:rsidRDefault="00C05C9D" w:rsidP="00C05C9D">
      <w:pPr>
        <w:ind w:left="2268" w:hanging="2268"/>
      </w:pPr>
      <w:r>
        <w:t>Sobre el número de polos a supervisar, consúltese la tabla 1 de la ITC-BT 22:</w:t>
      </w:r>
    </w:p>
    <w:p w14:paraId="0D1F90ED" w14:textId="77777777" w:rsidR="00C05C9D" w:rsidRDefault="00836E5C" w:rsidP="00C05C9D">
      <w:pPr>
        <w:ind w:left="2268" w:hanging="2268"/>
      </w:pPr>
      <w:r>
        <w:rPr>
          <w:noProof/>
          <w:lang w:val="es-ES"/>
        </w:rPr>
        <w:drawing>
          <wp:inline distT="0" distB="0" distL="0" distR="0" wp14:anchorId="07976FC7" wp14:editId="57A7CFED">
            <wp:extent cx="5122545" cy="18542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2545" cy="1854200"/>
                    </a:xfrm>
                    <a:prstGeom prst="rect">
                      <a:avLst/>
                    </a:prstGeom>
                    <a:noFill/>
                    <a:ln>
                      <a:noFill/>
                    </a:ln>
                  </pic:spPr>
                </pic:pic>
              </a:graphicData>
            </a:graphic>
          </wp:inline>
        </w:drawing>
      </w:r>
    </w:p>
    <w:p w14:paraId="0F079404" w14:textId="77777777" w:rsidR="00C05C9D" w:rsidRDefault="00C05C9D" w:rsidP="00C05C9D">
      <w:pPr>
        <w:pStyle w:val="Ttulo3"/>
      </w:pPr>
      <w:bookmarkStart w:id="10" w:name="_Toc491543027"/>
      <w:r>
        <w:t>Derivaciones a tierra</w:t>
      </w:r>
      <w:bookmarkEnd w:id="10"/>
    </w:p>
    <w:p w14:paraId="30C60E9B" w14:textId="77777777" w:rsidR="00C05C9D" w:rsidRDefault="004F7925" w:rsidP="00C05C9D">
      <w:r>
        <w:t>Es muy frecuente que los contactos directos e indirectos ocasionen derivaciones de corriente a tierra. Empecemos considerando las puestas a tierra de la instalación:</w:t>
      </w:r>
    </w:p>
    <w:tbl>
      <w:tblPr>
        <w:tblStyle w:val="Tablaconcuadrcula"/>
        <w:tblW w:w="9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1276"/>
        <w:gridCol w:w="904"/>
        <w:gridCol w:w="3207"/>
        <w:gridCol w:w="1013"/>
      </w:tblGrid>
      <w:tr w:rsidR="001D7CBB" w:rsidRPr="004F7925" w14:paraId="248A4F3E" w14:textId="77777777" w:rsidTr="001D7CBB">
        <w:trPr>
          <w:gridAfter w:val="1"/>
          <w:wAfter w:w="1013" w:type="dxa"/>
        </w:trPr>
        <w:tc>
          <w:tcPr>
            <w:tcW w:w="4361" w:type="dxa"/>
            <w:gridSpan w:val="2"/>
            <w:vAlign w:val="bottom"/>
          </w:tcPr>
          <w:p w14:paraId="392B3025" w14:textId="77777777" w:rsidR="00C05C9D" w:rsidRPr="004F7925" w:rsidRDefault="00C05C9D" w:rsidP="004F7925">
            <w:pPr>
              <w:spacing w:before="0"/>
              <w:jc w:val="center"/>
              <w:rPr>
                <w:sz w:val="18"/>
                <w:szCs w:val="18"/>
              </w:rPr>
            </w:pPr>
            <w:r w:rsidRPr="004F7925">
              <w:rPr>
                <w:rFonts w:ascii="Times" w:eastAsia="Times New Roman" w:hAnsi="Times"/>
                <w:noProof/>
                <w:sz w:val="18"/>
                <w:szCs w:val="18"/>
                <w:lang w:val="es-ES"/>
              </w:rPr>
              <w:drawing>
                <wp:inline distT="0" distB="0" distL="0" distR="0" wp14:anchorId="5BE09E7F" wp14:editId="532D6173">
                  <wp:extent cx="2536402" cy="2079077"/>
                  <wp:effectExtent l="0" t="0" r="3810" b="3810"/>
                  <wp:docPr id="28" name="Imagen 28" descr="http://www.sectorelectricidad.com/wp-content/uploads/2019/11/regimen-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ctorelectricidad.com/wp-content/uploads/2019/11/regimen-it-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7736" cy="2080171"/>
                          </a:xfrm>
                          <a:prstGeom prst="rect">
                            <a:avLst/>
                          </a:prstGeom>
                          <a:noFill/>
                          <a:ln>
                            <a:noFill/>
                          </a:ln>
                        </pic:spPr>
                      </pic:pic>
                    </a:graphicData>
                  </a:graphic>
                </wp:inline>
              </w:drawing>
            </w:r>
          </w:p>
          <w:p w14:paraId="48E2BB21" w14:textId="77777777" w:rsidR="00C05C9D" w:rsidRPr="004F7925" w:rsidRDefault="00C05C9D" w:rsidP="004F7925">
            <w:pPr>
              <w:spacing w:before="0"/>
              <w:jc w:val="center"/>
              <w:rPr>
                <w:sz w:val="18"/>
                <w:szCs w:val="18"/>
              </w:rPr>
            </w:pPr>
            <w:r w:rsidRPr="004F7925">
              <w:rPr>
                <w:sz w:val="18"/>
                <w:szCs w:val="18"/>
              </w:rPr>
              <w:t>Régimen IT</w:t>
            </w:r>
          </w:p>
        </w:tc>
        <w:tc>
          <w:tcPr>
            <w:tcW w:w="4111" w:type="dxa"/>
            <w:gridSpan w:val="2"/>
            <w:vAlign w:val="bottom"/>
          </w:tcPr>
          <w:p w14:paraId="3D31C9F7" w14:textId="77777777" w:rsidR="00C05C9D" w:rsidRPr="004F7925" w:rsidRDefault="00C05C9D" w:rsidP="004F7925">
            <w:pPr>
              <w:spacing w:before="0"/>
              <w:jc w:val="center"/>
              <w:rPr>
                <w:sz w:val="18"/>
                <w:szCs w:val="18"/>
              </w:rPr>
            </w:pPr>
            <w:r w:rsidRPr="004F7925">
              <w:rPr>
                <w:rFonts w:ascii="Times" w:eastAsia="Times New Roman" w:hAnsi="Times"/>
                <w:noProof/>
                <w:sz w:val="18"/>
                <w:szCs w:val="18"/>
                <w:lang w:val="es-ES"/>
              </w:rPr>
              <w:drawing>
                <wp:inline distT="0" distB="0" distL="0" distR="0" wp14:anchorId="0F006786" wp14:editId="1D9044FE">
                  <wp:extent cx="2443268" cy="2002736"/>
                  <wp:effectExtent l="0" t="0" r="0" b="4445"/>
                  <wp:docPr id="26" name="Imagen 26" descr="http://www.sectorelectricidad.com/wp-content/uploads/2019/11/regimen-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ectorelectricidad.com/wp-content/uploads/2019/11/regimen-tt-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3702" cy="2003091"/>
                          </a:xfrm>
                          <a:prstGeom prst="rect">
                            <a:avLst/>
                          </a:prstGeom>
                          <a:noFill/>
                          <a:ln>
                            <a:noFill/>
                          </a:ln>
                        </pic:spPr>
                      </pic:pic>
                    </a:graphicData>
                  </a:graphic>
                </wp:inline>
              </w:drawing>
            </w:r>
          </w:p>
          <w:p w14:paraId="3A1DCE90" w14:textId="77777777" w:rsidR="00C05C9D" w:rsidRPr="004F7925" w:rsidRDefault="00C05C9D" w:rsidP="004F7925">
            <w:pPr>
              <w:spacing w:before="0"/>
              <w:jc w:val="center"/>
              <w:rPr>
                <w:sz w:val="18"/>
                <w:szCs w:val="18"/>
              </w:rPr>
            </w:pPr>
            <w:r w:rsidRPr="004F7925">
              <w:rPr>
                <w:sz w:val="18"/>
                <w:szCs w:val="18"/>
              </w:rPr>
              <w:t>Régimen TT</w:t>
            </w:r>
          </w:p>
        </w:tc>
      </w:tr>
      <w:tr w:rsidR="00C05C9D" w14:paraId="500A5F56" w14:textId="77777777" w:rsidTr="001D7CBB">
        <w:tc>
          <w:tcPr>
            <w:tcW w:w="3085" w:type="dxa"/>
          </w:tcPr>
          <w:p w14:paraId="690ECAB3" w14:textId="77777777" w:rsidR="00C05C9D" w:rsidRDefault="004F7925" w:rsidP="004F7925">
            <w:pPr>
              <w:spacing w:before="0"/>
            </w:pPr>
            <w:r w:rsidRPr="00CC0E80">
              <w:t xml:space="preserve">Según el régimen de </w:t>
            </w:r>
            <w:r>
              <w:t>puesta a tierra</w:t>
            </w:r>
            <w:r w:rsidRPr="00CC0E80">
              <w:t xml:space="preserve"> de la instalación a pr</w:t>
            </w:r>
            <w:r w:rsidRPr="00CC0E80">
              <w:t>o</w:t>
            </w:r>
            <w:r w:rsidRPr="00CC0E80">
              <w:t>teger las intensidades de</w:t>
            </w:r>
            <w:r>
              <w:t xml:space="preserve"> esos</w:t>
            </w:r>
            <w:r w:rsidRPr="00CC0E80">
              <w:t xml:space="preserve"> defecto</w:t>
            </w:r>
            <w:r>
              <w:t>s</w:t>
            </w:r>
            <w:r w:rsidRPr="00CC0E80">
              <w:t xml:space="preserve"> a tierra pueden ser </w:t>
            </w:r>
            <w:r>
              <w:t>grandes, pequeñas</w:t>
            </w:r>
            <w:r w:rsidRPr="00CC0E80">
              <w:t xml:space="preserve"> o muy pequeñas, pero siempre igualmente peligrosas.</w:t>
            </w:r>
          </w:p>
          <w:p w14:paraId="7783124F" w14:textId="77777777" w:rsidR="004F7925" w:rsidRDefault="004F7925" w:rsidP="001D7CBB">
            <w:pPr>
              <w:rPr>
                <w:rFonts w:ascii="Times" w:eastAsia="Times New Roman" w:hAnsi="Times"/>
                <w:noProof/>
                <w:sz w:val="20"/>
                <w:lang w:val="es-ES"/>
              </w:rPr>
            </w:pPr>
            <w:r>
              <w:t xml:space="preserve">En </w:t>
            </w:r>
            <w:r w:rsidR="001D7CBB">
              <w:t>el reglamento de baja te</w:t>
            </w:r>
            <w:r w:rsidR="001D7CBB">
              <w:t>n</w:t>
            </w:r>
            <w:r w:rsidR="001D7CBB">
              <w:t xml:space="preserve">sión </w:t>
            </w:r>
            <w:r>
              <w:t>se prefiere fijar</w:t>
            </w:r>
            <w:r w:rsidR="001D7CBB">
              <w:t xml:space="preserve"> umbrales de tensión admisibles por el cuerpo humano en lugar de intensidades, de donde se obtienen las curvas como la de la gráfica de aquí abajo.</w:t>
            </w:r>
          </w:p>
        </w:tc>
        <w:tc>
          <w:tcPr>
            <w:tcW w:w="6400" w:type="dxa"/>
            <w:gridSpan w:val="4"/>
            <w:vAlign w:val="bottom"/>
          </w:tcPr>
          <w:p w14:paraId="7A62665E" w14:textId="77777777" w:rsidR="004F7925" w:rsidRPr="004F7925" w:rsidRDefault="00C05C9D" w:rsidP="004F7925">
            <w:pPr>
              <w:widowControl/>
              <w:spacing w:before="0"/>
              <w:jc w:val="center"/>
              <w:rPr>
                <w:rFonts w:ascii="Times" w:eastAsia="Times New Roman" w:hAnsi="Times"/>
                <w:sz w:val="18"/>
                <w:szCs w:val="18"/>
                <w:lang w:val="es-ES"/>
              </w:rPr>
            </w:pPr>
            <w:r w:rsidRPr="004F7925">
              <w:rPr>
                <w:rFonts w:ascii="Times" w:eastAsia="Times New Roman" w:hAnsi="Times"/>
                <w:noProof/>
                <w:sz w:val="18"/>
                <w:szCs w:val="18"/>
                <w:lang w:val="es-ES"/>
              </w:rPr>
              <w:drawing>
                <wp:inline distT="0" distB="0" distL="0" distR="0" wp14:anchorId="42B3786C" wp14:editId="7A1FB141">
                  <wp:extent cx="2776695" cy="2276044"/>
                  <wp:effectExtent l="0" t="0" r="0" b="10160"/>
                  <wp:docPr id="30" name="Imagen 30" descr="http://www.sectorelectricidad.com/wp-content/uploads/2019/11/regimen-t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ectorelectricidad.com/wp-content/uploads/2019/11/regimen-tn-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8009" cy="2277121"/>
                          </a:xfrm>
                          <a:prstGeom prst="rect">
                            <a:avLst/>
                          </a:prstGeom>
                          <a:noFill/>
                          <a:ln>
                            <a:noFill/>
                          </a:ln>
                        </pic:spPr>
                      </pic:pic>
                    </a:graphicData>
                  </a:graphic>
                </wp:inline>
              </w:drawing>
            </w:r>
          </w:p>
          <w:p w14:paraId="2BFE2627" w14:textId="77777777" w:rsidR="00C05C9D" w:rsidRDefault="004F7925" w:rsidP="004F7925">
            <w:pPr>
              <w:spacing w:before="0"/>
              <w:jc w:val="center"/>
              <w:rPr>
                <w:rFonts w:ascii="Times" w:eastAsia="Times New Roman" w:hAnsi="Times"/>
                <w:noProof/>
                <w:sz w:val="20"/>
                <w:lang w:val="es-ES"/>
              </w:rPr>
            </w:pPr>
            <w:r w:rsidRPr="004F7925">
              <w:rPr>
                <w:sz w:val="18"/>
                <w:szCs w:val="18"/>
              </w:rPr>
              <w:t>Régimen TN-C</w:t>
            </w:r>
          </w:p>
        </w:tc>
      </w:tr>
      <w:tr w:rsidR="00C05C9D" w:rsidRPr="00CC0E80" w14:paraId="6247FBA5" w14:textId="77777777" w:rsidTr="001D7CBB">
        <w:tblPrEx>
          <w:tblLook w:val="00A0" w:firstRow="1" w:lastRow="0" w:firstColumn="1" w:lastColumn="0" w:noHBand="0" w:noVBand="0"/>
        </w:tblPrEx>
        <w:trPr>
          <w:gridAfter w:val="1"/>
          <w:wAfter w:w="1013" w:type="dxa"/>
        </w:trPr>
        <w:tc>
          <w:tcPr>
            <w:tcW w:w="5265" w:type="dxa"/>
            <w:gridSpan w:val="3"/>
          </w:tcPr>
          <w:p w14:paraId="38F856C9" w14:textId="77777777" w:rsidR="00C05C9D" w:rsidRPr="00CC0E80" w:rsidRDefault="00836E5C" w:rsidP="00C05C9D">
            <w:r>
              <w:rPr>
                <w:noProof/>
                <w:lang w:val="es-ES"/>
              </w:rPr>
              <w:drawing>
                <wp:inline distT="0" distB="0" distL="0" distR="0" wp14:anchorId="2CE00BA4" wp14:editId="2A2B6454">
                  <wp:extent cx="3222202" cy="3283768"/>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2202" cy="3283768"/>
                          </a:xfrm>
                          <a:prstGeom prst="rect">
                            <a:avLst/>
                          </a:prstGeom>
                          <a:noFill/>
                          <a:ln>
                            <a:noFill/>
                          </a:ln>
                        </pic:spPr>
                      </pic:pic>
                    </a:graphicData>
                  </a:graphic>
                </wp:inline>
              </w:drawing>
            </w:r>
          </w:p>
        </w:tc>
        <w:tc>
          <w:tcPr>
            <w:tcW w:w="3207" w:type="dxa"/>
          </w:tcPr>
          <w:p w14:paraId="2A26301E" w14:textId="77777777" w:rsidR="00C05C9D" w:rsidRDefault="001D7CBB" w:rsidP="00C05C9D">
            <w:r>
              <w:t>En ella, l</w:t>
            </w:r>
            <w:r w:rsidR="00C05C9D">
              <w:t>as tensiones aplicadas al cuerpo en caso de defecto se limitan en función del e</w:t>
            </w:r>
            <w:r w:rsidR="00C05C9D">
              <w:t>n</w:t>
            </w:r>
            <w:r w:rsidR="00C05C9D">
              <w:t>torno de la instalación según dos curvas, una para zonas secas (50 V) y otra para zonas húmedas (25 V).</w:t>
            </w:r>
          </w:p>
          <w:p w14:paraId="1610B33C" w14:textId="77777777" w:rsidR="00C05C9D" w:rsidRDefault="001D7CBB" w:rsidP="00C05C9D">
            <w:r>
              <w:t>En una instalación segura</w:t>
            </w:r>
            <w:r w:rsidR="00C05C9D">
              <w:t xml:space="preserve"> la intensidad de defec</w:t>
            </w:r>
            <w:r>
              <w:t>to no dará</w:t>
            </w:r>
            <w:r w:rsidR="00C05C9D">
              <w:t xml:space="preserve"> lugar a tensiones superiores </w:t>
            </w:r>
            <w:r>
              <w:t xml:space="preserve">a las de la gráfica </w:t>
            </w:r>
            <w:r w:rsidR="00C05C9D">
              <w:t>en la resiste</w:t>
            </w:r>
            <w:r w:rsidR="00C05C9D">
              <w:t>n</w:t>
            </w:r>
            <w:r w:rsidR="00C05C9D">
              <w:t>cia del defecto, que como m</w:t>
            </w:r>
            <w:r w:rsidR="00C05C9D">
              <w:t>í</w:t>
            </w:r>
            <w:r w:rsidR="00C05C9D">
              <w:t>nimo incluye la resistencia de puesta a tierra de la instalación. Esa resistencia debe limitarse a valores lo más pequeños pos</w:t>
            </w:r>
            <w:r w:rsidR="00C05C9D">
              <w:t>i</w:t>
            </w:r>
            <w:r w:rsidR="00C05C9D">
              <w:t>ble, para que ocurra que</w:t>
            </w:r>
          </w:p>
          <w:p w14:paraId="19B8D174" w14:textId="77777777" w:rsidR="00C05C9D" w:rsidRPr="00CC0E80" w:rsidRDefault="00C05C9D" w:rsidP="00C05C9D">
            <w:pPr>
              <w:jc w:val="center"/>
            </w:pPr>
          </w:p>
        </w:tc>
      </w:tr>
    </w:tbl>
    <w:p w14:paraId="7E8DE518" w14:textId="12E50434" w:rsidR="001D7CBB" w:rsidRDefault="004E5E03" w:rsidP="001D7CBB">
      <w:pPr>
        <w:jc w:val="center"/>
      </w:pPr>
      <w:r w:rsidRPr="006869CA">
        <w:rPr>
          <w:position w:val="-16"/>
        </w:rPr>
        <w:object w:dxaOrig="2100" w:dyaOrig="440" w14:anchorId="3929C81C">
          <v:shape id="_x0000_i1056" type="#_x0000_t75" style="width:105.35pt;height:22pt" o:ole="">
            <v:imagedata r:id="rId23" o:title=""/>
          </v:shape>
          <o:OLEObject Type="Embed" ProgID="Equation.3" ShapeID="_x0000_i1056" DrawAspect="Content" ObjectID="_1565286666" r:id="rId24"/>
        </w:object>
      </w:r>
    </w:p>
    <w:p w14:paraId="249AC919" w14:textId="77777777" w:rsidR="00C05C9D" w:rsidRPr="00CC0E80" w:rsidRDefault="00C05C9D" w:rsidP="00C05C9D">
      <w:r w:rsidRPr="00CC0E80">
        <w:t>Se considera que una corriente de defecto de más de 500 mA es ya inaceptable, lo que exige que las resistencias de puesta a tierra no superen los 50 Ω en ningún c</w:t>
      </w:r>
      <w:r w:rsidRPr="00CC0E80">
        <w:t>a</w:t>
      </w:r>
      <w:r w:rsidRPr="00CC0E80">
        <w:t>so. Sin embargo, es usual limitar a valores de 30 mA las intensidades admisibles en receptores domésticos y a 300 mA en receptores de tipo industrial.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503"/>
        <w:gridCol w:w="3762"/>
      </w:tblGrid>
      <w:tr w:rsidR="00C05C9D" w:rsidRPr="00045CCE" w14:paraId="54301AFA" w14:textId="77777777">
        <w:tc>
          <w:tcPr>
            <w:tcW w:w="4503" w:type="dxa"/>
          </w:tcPr>
          <w:p w14:paraId="612195D4" w14:textId="77777777" w:rsidR="00C05C9D" w:rsidRPr="00CC0E80" w:rsidRDefault="00C05C9D" w:rsidP="001D7CBB">
            <w:r w:rsidRPr="00045CCE">
              <w:t xml:space="preserve">La protección contra </w:t>
            </w:r>
            <w:r w:rsidR="001D7CBB">
              <w:t>derivacione</w:t>
            </w:r>
            <w:r w:rsidRPr="00045CCE">
              <w:t xml:space="preserve">s </w:t>
            </w:r>
            <w:r w:rsidR="001D7CBB">
              <w:t xml:space="preserve">a tierra </w:t>
            </w:r>
            <w:r w:rsidRPr="00045CCE">
              <w:t>por corte automático de la alimentación se confía a los interruptores diferenciales. D</w:t>
            </w:r>
            <w:r w:rsidRPr="00045CCE">
              <w:t>e</w:t>
            </w:r>
            <w:r w:rsidRPr="00045CCE">
              <w:t>ben elegirse en función del número de polos y la sensibilidad del disparo. Hay equipos modulares para carril DIN de 2 ó 4 módulos. Cumplen la UNE EN 61008-2.</w:t>
            </w:r>
          </w:p>
        </w:tc>
        <w:tc>
          <w:tcPr>
            <w:tcW w:w="3762" w:type="dxa"/>
          </w:tcPr>
          <w:p w14:paraId="607DC65F" w14:textId="77777777" w:rsidR="00C05C9D" w:rsidRPr="00CC0E80" w:rsidRDefault="00836E5C" w:rsidP="00C05C9D">
            <w:pPr>
              <w:jc w:val="right"/>
            </w:pPr>
            <w:r>
              <w:rPr>
                <w:noProof/>
                <w:lang w:val="es-ES"/>
              </w:rPr>
              <w:drawing>
                <wp:inline distT="0" distB="0" distL="0" distR="0" wp14:anchorId="7617FFB1" wp14:editId="11B91BCB">
                  <wp:extent cx="1981200" cy="1295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295400"/>
                          </a:xfrm>
                          <a:prstGeom prst="rect">
                            <a:avLst/>
                          </a:prstGeom>
                          <a:noFill/>
                          <a:ln>
                            <a:noFill/>
                          </a:ln>
                        </pic:spPr>
                      </pic:pic>
                    </a:graphicData>
                  </a:graphic>
                </wp:inline>
              </w:drawing>
            </w:r>
          </w:p>
        </w:tc>
      </w:tr>
      <w:tr w:rsidR="00C05C9D" w:rsidRPr="00045CCE" w14:paraId="274623C3" w14:textId="77777777">
        <w:tc>
          <w:tcPr>
            <w:tcW w:w="4503" w:type="dxa"/>
          </w:tcPr>
          <w:p w14:paraId="5487DB4F" w14:textId="77777777" w:rsidR="00C05C9D" w:rsidRPr="00045CCE" w:rsidRDefault="00C05C9D" w:rsidP="00C05C9D">
            <w:r w:rsidRPr="00045CCE">
              <w:t xml:space="preserve">Además hay </w:t>
            </w:r>
            <w:r w:rsidRPr="00045CCE">
              <w:rPr>
                <w:i/>
              </w:rPr>
              <w:t>bloques diferenciales</w:t>
            </w:r>
            <w:r w:rsidRPr="00045CCE">
              <w:t>, que son un complemento a añadir a un interruptor magnetotérmico normal para añadirle la fu</w:t>
            </w:r>
            <w:r w:rsidRPr="00045CCE">
              <w:t>n</w:t>
            </w:r>
            <w:r w:rsidRPr="00045CCE">
              <w:t xml:space="preserve">ción de relé diferencial. </w:t>
            </w:r>
          </w:p>
          <w:p w14:paraId="7AF55484" w14:textId="77777777" w:rsidR="00C05C9D" w:rsidRPr="00045CCE" w:rsidRDefault="00C05C9D" w:rsidP="00C05C9D">
            <w:r w:rsidRPr="00045CCE">
              <w:t>También existen modelos que combinan ambos aparatos en un único dispositivo, conforme a la norma UNE EN 61009-1.</w:t>
            </w:r>
          </w:p>
        </w:tc>
        <w:tc>
          <w:tcPr>
            <w:tcW w:w="3762" w:type="dxa"/>
          </w:tcPr>
          <w:p w14:paraId="30B83E98" w14:textId="77777777" w:rsidR="00C05C9D" w:rsidRPr="00CC0E80" w:rsidRDefault="00836E5C" w:rsidP="00C05C9D">
            <w:pPr>
              <w:jc w:val="right"/>
            </w:pPr>
            <w:r>
              <w:rPr>
                <w:noProof/>
                <w:lang w:val="es-ES"/>
              </w:rPr>
              <w:drawing>
                <wp:inline distT="0" distB="0" distL="0" distR="0" wp14:anchorId="056C0335" wp14:editId="1BC3AE2C">
                  <wp:extent cx="1354455" cy="116014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4455" cy="1160145"/>
                          </a:xfrm>
                          <a:prstGeom prst="rect">
                            <a:avLst/>
                          </a:prstGeom>
                          <a:noFill/>
                          <a:ln>
                            <a:noFill/>
                          </a:ln>
                        </pic:spPr>
                      </pic:pic>
                    </a:graphicData>
                  </a:graphic>
                </wp:inline>
              </w:drawing>
            </w:r>
          </w:p>
        </w:tc>
      </w:tr>
      <w:tr w:rsidR="00C05C9D" w:rsidRPr="00045CCE" w14:paraId="3D4EEDF9" w14:textId="77777777">
        <w:tc>
          <w:tcPr>
            <w:tcW w:w="4503" w:type="dxa"/>
          </w:tcPr>
          <w:p w14:paraId="48D6C1D0" w14:textId="77777777" w:rsidR="00C05C9D" w:rsidRPr="00045CCE" w:rsidRDefault="00C05C9D" w:rsidP="00C05C9D">
            <w:r>
              <w:t>El funcionamiento se basa en la primera ley de Kirchhoff: la suma de las intensidades que entran en el nudo situado después del toroidal debe ser cero. Si no lo son es que hay alguna intensidad más que no entra al nudo por el toroidal, y se tratará de una c</w:t>
            </w:r>
            <w:r>
              <w:t>o</w:t>
            </w:r>
            <w:r>
              <w:t>rriente de defecto que es peligrosa y habrá que interrumpir. El relé hace actuar al co</w:t>
            </w:r>
            <w:r>
              <w:t>n</w:t>
            </w:r>
            <w:r>
              <w:t>tacto encargado de ello.</w:t>
            </w:r>
          </w:p>
        </w:tc>
        <w:tc>
          <w:tcPr>
            <w:tcW w:w="3762" w:type="dxa"/>
          </w:tcPr>
          <w:p w14:paraId="71D61776" w14:textId="77777777" w:rsidR="00C05C9D" w:rsidRDefault="00836E5C" w:rsidP="00C05C9D">
            <w:pPr>
              <w:jc w:val="right"/>
            </w:pPr>
            <w:r>
              <w:rPr>
                <w:noProof/>
                <w:lang w:val="es-ES"/>
              </w:rPr>
              <w:drawing>
                <wp:inline distT="0" distB="0" distL="0" distR="0" wp14:anchorId="3CFD7E04" wp14:editId="63D8237C">
                  <wp:extent cx="2192655" cy="164274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2655" cy="1642745"/>
                          </a:xfrm>
                          <a:prstGeom prst="rect">
                            <a:avLst/>
                          </a:prstGeom>
                          <a:noFill/>
                          <a:ln>
                            <a:noFill/>
                          </a:ln>
                        </pic:spPr>
                      </pic:pic>
                    </a:graphicData>
                  </a:graphic>
                </wp:inline>
              </w:drawing>
            </w:r>
          </w:p>
        </w:tc>
      </w:tr>
    </w:tbl>
    <w:p w14:paraId="180C36B6" w14:textId="77777777" w:rsidR="00C05C9D" w:rsidRDefault="00C05C9D" w:rsidP="00C05C9D">
      <w:r>
        <w:t>La representación normalizada indica en el esquema unifilar que el relé dispone del toroidal sensible a la suma de intensidades. Además se indica con un aspa la posib</w:t>
      </w:r>
      <w:r>
        <w:t>i</w:t>
      </w:r>
      <w:r>
        <w:t xml:space="preserve">lidad de interrumpir corrientes hasta el valor nominal del aparato, si el dispositivo lo permite.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110"/>
        <w:gridCol w:w="960"/>
        <w:gridCol w:w="3151"/>
      </w:tblGrid>
      <w:tr w:rsidR="00C05C9D" w14:paraId="075D7DC2" w14:textId="77777777">
        <w:tc>
          <w:tcPr>
            <w:tcW w:w="4110" w:type="dxa"/>
          </w:tcPr>
          <w:p w14:paraId="279BA203" w14:textId="77777777" w:rsidR="00C05C9D" w:rsidRDefault="00836E5C" w:rsidP="00C05C9D">
            <w:r>
              <w:rPr>
                <w:noProof/>
                <w:lang w:val="es-ES"/>
              </w:rPr>
              <w:drawing>
                <wp:inline distT="0" distB="0" distL="0" distR="0" wp14:anchorId="75D6498C" wp14:editId="38D08994">
                  <wp:extent cx="1964055" cy="1651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4055" cy="1651000"/>
                          </a:xfrm>
                          <a:prstGeom prst="rect">
                            <a:avLst/>
                          </a:prstGeom>
                          <a:noFill/>
                          <a:ln>
                            <a:noFill/>
                          </a:ln>
                        </pic:spPr>
                      </pic:pic>
                    </a:graphicData>
                  </a:graphic>
                </wp:inline>
              </w:drawing>
            </w:r>
          </w:p>
        </w:tc>
        <w:tc>
          <w:tcPr>
            <w:tcW w:w="4111" w:type="dxa"/>
            <w:gridSpan w:val="2"/>
          </w:tcPr>
          <w:p w14:paraId="18A301EB" w14:textId="77777777" w:rsidR="00C05C9D" w:rsidRDefault="00C05C9D" w:rsidP="00C05C9D">
            <w:r>
              <w:t>Generalmente se añade un pulsador para señalar no solo la posibilidad de accionamiento manual, sino también la presencia del botón de prueba 'test' que todos deben llevar.</w:t>
            </w:r>
          </w:p>
          <w:p w14:paraId="408D4A05" w14:textId="77777777" w:rsidR="00C05C9D" w:rsidRDefault="00C05C9D" w:rsidP="00C05C9D">
            <w:r>
              <w:t>En la ilustración de la izquierda aparece una combinación de interruptor autom</w:t>
            </w:r>
            <w:r>
              <w:t>á</w:t>
            </w:r>
            <w:r>
              <w:t>tico diferencial con dos interruptores automáticos magnetotér</w:t>
            </w:r>
            <w:r>
              <w:softHyphen/>
              <w:t>micos aguas abajo de él.</w:t>
            </w:r>
          </w:p>
        </w:tc>
      </w:tr>
      <w:tr w:rsidR="00C05C9D" w14:paraId="751620EA" w14:textId="77777777">
        <w:tc>
          <w:tcPr>
            <w:tcW w:w="5070" w:type="dxa"/>
            <w:gridSpan w:val="2"/>
          </w:tcPr>
          <w:p w14:paraId="28AE2A15" w14:textId="77777777" w:rsidR="001D7CBB" w:rsidRDefault="001D7CBB" w:rsidP="00C05C9D"/>
          <w:p w14:paraId="3C9140B8" w14:textId="77777777" w:rsidR="00C05C9D" w:rsidRDefault="00C05C9D" w:rsidP="00C05C9D">
            <w:r w:rsidRPr="00045CCE">
              <w:t>El tiempo de respuesta es instantáneo, cuestión de unos pocos milisegundos, siempre cierto cuando la intensidad de defecto supere el umbral de se</w:t>
            </w:r>
            <w:r w:rsidRPr="00045CCE">
              <w:t>n</w:t>
            </w:r>
            <w:r w:rsidRPr="00045CCE">
              <w:t>sibilidad nominal del aparato, y posible en valores próximos a dicho umbral. A mitad del umbral no debe haber disparo. En algunos modelos se pu</w:t>
            </w:r>
            <w:r w:rsidRPr="00045CCE">
              <w:t>e</w:t>
            </w:r>
            <w:r w:rsidRPr="00045CCE">
              <w:t>den ajustar la sensibilidad y el tiempo de disparo utilizando una pequeña herramienta.</w:t>
            </w:r>
          </w:p>
        </w:tc>
        <w:tc>
          <w:tcPr>
            <w:tcW w:w="3151" w:type="dxa"/>
          </w:tcPr>
          <w:p w14:paraId="2B6CAB8F" w14:textId="77777777" w:rsidR="001D7CBB" w:rsidRDefault="001D7CBB" w:rsidP="00C05C9D">
            <w:pPr>
              <w:jc w:val="right"/>
            </w:pPr>
          </w:p>
          <w:p w14:paraId="02FE6931" w14:textId="77777777" w:rsidR="00C05C9D" w:rsidRPr="00CC0E80" w:rsidRDefault="00836E5C" w:rsidP="00C05C9D">
            <w:pPr>
              <w:jc w:val="right"/>
            </w:pPr>
            <w:r>
              <w:rPr>
                <w:noProof/>
                <w:lang w:val="es-ES"/>
              </w:rPr>
              <w:drawing>
                <wp:inline distT="0" distB="0" distL="0" distR="0" wp14:anchorId="333AC736" wp14:editId="70F9314A">
                  <wp:extent cx="1633855" cy="14052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3855" cy="1405255"/>
                          </a:xfrm>
                          <a:prstGeom prst="rect">
                            <a:avLst/>
                          </a:prstGeom>
                          <a:noFill/>
                          <a:ln>
                            <a:noFill/>
                          </a:ln>
                        </pic:spPr>
                      </pic:pic>
                    </a:graphicData>
                  </a:graphic>
                </wp:inline>
              </w:drawing>
            </w:r>
          </w:p>
        </w:tc>
      </w:tr>
    </w:tbl>
    <w:p w14:paraId="6CF99FFA" w14:textId="77777777" w:rsidR="00C05C9D" w:rsidRDefault="00C05C9D" w:rsidP="00C05C9D">
      <w:r>
        <w:t>La elevada sensibilidad de los diferenciales puede causar disparos intempestivos cuando la corriente de defecto está causada por dispositivos electrónicos funciona</w:t>
      </w:r>
      <w:r>
        <w:t>n</w:t>
      </w:r>
      <w:r>
        <w:t>do normalmente. Este fenómeno suele darse en instalaciones con varios equipos alimentados desde un mismo interruptor, o bien en instalaciones donde hay muchos aunque estén en diferentes sitios. El tipo de diferencial se elige así:</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701"/>
        <w:gridCol w:w="4564"/>
      </w:tblGrid>
      <w:tr w:rsidR="00C05C9D" w14:paraId="31B0E5BE" w14:textId="77777777">
        <w:tc>
          <w:tcPr>
            <w:tcW w:w="3657" w:type="dxa"/>
          </w:tcPr>
          <w:p w14:paraId="3F7B2B0A" w14:textId="77777777" w:rsidR="00C05C9D" w:rsidRPr="00CC0E80" w:rsidRDefault="001D7CBB" w:rsidP="00C05C9D">
            <w:r>
              <w:rPr>
                <w:noProof/>
                <w:lang w:val="es-ES"/>
              </w:rPr>
              <w:drawing>
                <wp:inline distT="0" distB="0" distL="0" distR="0" wp14:anchorId="22E4D973" wp14:editId="4076C41B">
                  <wp:extent cx="2213377" cy="3273848"/>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3377" cy="3273848"/>
                          </a:xfrm>
                          <a:prstGeom prst="rect">
                            <a:avLst/>
                          </a:prstGeom>
                          <a:noFill/>
                          <a:ln>
                            <a:noFill/>
                          </a:ln>
                        </pic:spPr>
                      </pic:pic>
                    </a:graphicData>
                  </a:graphic>
                </wp:inline>
              </w:drawing>
            </w:r>
          </w:p>
        </w:tc>
        <w:tc>
          <w:tcPr>
            <w:tcW w:w="4564" w:type="dxa"/>
          </w:tcPr>
          <w:p w14:paraId="732EE3CA" w14:textId="77777777" w:rsidR="00C05C9D" w:rsidRDefault="00C05C9D" w:rsidP="00C05C9D">
            <w:pPr>
              <w:ind w:left="1021" w:hanging="1021"/>
            </w:pPr>
            <w:r>
              <w:t xml:space="preserve">Tipo AC: </w:t>
            </w:r>
            <w:r>
              <w:tab/>
              <w:t>interruptores diferenciales de tipo habitual, no especialmente inmun</w:t>
            </w:r>
            <w:r>
              <w:t>i</w:t>
            </w:r>
            <w:r>
              <w:t>zados.</w:t>
            </w:r>
          </w:p>
          <w:p w14:paraId="68E5AF52" w14:textId="77777777" w:rsidR="00C05C9D" w:rsidRDefault="00C05C9D" w:rsidP="00C05C9D">
            <w:pPr>
              <w:ind w:left="1021" w:hanging="1021"/>
            </w:pPr>
            <w:r>
              <w:t>Tipo A:</w:t>
            </w:r>
            <w:r>
              <w:tab/>
              <w:t>interruptores con mejor compo</w:t>
            </w:r>
            <w:r>
              <w:t>r</w:t>
            </w:r>
            <w:r>
              <w:t>tamiento frente a corrientes que saturan el núcleo magnético del toroidal (normalmente corrientes continuas), y que consiguen al</w:t>
            </w:r>
            <w:r>
              <w:t>i</w:t>
            </w:r>
            <w:r>
              <w:t>mentar con más seguridad el m</w:t>
            </w:r>
            <w:r>
              <w:t>e</w:t>
            </w:r>
            <w:r>
              <w:t>canismo de disparo.</w:t>
            </w:r>
          </w:p>
          <w:p w14:paraId="4E83CF34" w14:textId="77777777" w:rsidR="00C05C9D" w:rsidRDefault="00C05C9D" w:rsidP="00C05C9D">
            <w:pPr>
              <w:ind w:left="1021" w:hanging="1021"/>
            </w:pPr>
            <w:r>
              <w:t>Tipo B:</w:t>
            </w:r>
            <w:r>
              <w:tab/>
              <w:t>sensibles a corrientes de defecto habituales, o con elevada comp</w:t>
            </w:r>
            <w:r>
              <w:t>o</w:t>
            </w:r>
            <w:r>
              <w:t>nente continua aunque sea pu</w:t>
            </w:r>
            <w:r>
              <w:t>l</w:t>
            </w:r>
            <w:r>
              <w:t>sante, o con frecuencias distintas de la nominal de la red, o para combinaciones de todas ellas. Suelen utilizarse para proteger ci</w:t>
            </w:r>
            <w:r>
              <w:t>r</w:t>
            </w:r>
            <w:r>
              <w:t>cuitos de inversores o variadores electrónicos de velocidad.</w:t>
            </w:r>
          </w:p>
        </w:tc>
      </w:tr>
    </w:tbl>
    <w:p w14:paraId="6A6A7A6B" w14:textId="77777777" w:rsidR="00C05C9D" w:rsidRDefault="00836E5C" w:rsidP="00C05C9D">
      <w:r>
        <w:rPr>
          <w:noProof/>
          <w:lang w:val="es-ES"/>
        </w:rPr>
        <w:drawing>
          <wp:inline distT="0" distB="0" distL="0" distR="0" wp14:anchorId="274E038C" wp14:editId="76EACD20">
            <wp:extent cx="5130800" cy="1727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800" cy="1727200"/>
                    </a:xfrm>
                    <a:prstGeom prst="rect">
                      <a:avLst/>
                    </a:prstGeom>
                    <a:noFill/>
                    <a:ln>
                      <a:noFill/>
                    </a:ln>
                  </pic:spPr>
                </pic:pic>
              </a:graphicData>
            </a:graphic>
          </wp:inline>
        </w:drawing>
      </w:r>
    </w:p>
    <w:p w14:paraId="11E75741" w14:textId="77777777" w:rsidR="00C05C9D" w:rsidRPr="00CC0E80" w:rsidRDefault="00C05C9D" w:rsidP="00C05C9D">
      <w:pPr>
        <w:jc w:val="center"/>
        <w:rPr>
          <w:sz w:val="18"/>
        </w:rPr>
      </w:pPr>
      <w:r w:rsidRPr="00CC0E80">
        <w:rPr>
          <w:sz w:val="18"/>
        </w:rPr>
        <w:t>Según UNE EN 61008 y 61009</w:t>
      </w:r>
    </w:p>
    <w:p w14:paraId="730B202B" w14:textId="77777777" w:rsidR="00C05C9D" w:rsidRDefault="00C05C9D" w:rsidP="00C05C9D">
      <w:r>
        <w:t>La identificación de un interruptor automático diferencial requiere indicar:</w:t>
      </w:r>
    </w:p>
    <w:p w14:paraId="0CDDFD5F" w14:textId="77777777" w:rsidR="00C05C9D" w:rsidRDefault="00C05C9D" w:rsidP="00C05C9D">
      <w:pPr>
        <w:ind w:left="2268" w:hanging="2268"/>
      </w:pPr>
      <w:r>
        <w:t xml:space="preserve">- Número de polos: </w:t>
      </w:r>
      <w:r>
        <w:tab/>
        <w:t>para expresar cuántos hilos son supervisados por el interru</w:t>
      </w:r>
      <w:r>
        <w:t>p</w:t>
      </w:r>
      <w:r>
        <w:t>tor porque pasan por el transformador toroidal. Las posibil</w:t>
      </w:r>
      <w:r>
        <w:t>i</w:t>
      </w:r>
      <w:r>
        <w:t>dades son 2P o 4P.</w:t>
      </w:r>
    </w:p>
    <w:p w14:paraId="3B4DE0C8" w14:textId="77777777" w:rsidR="00C05C9D" w:rsidRDefault="00C05C9D" w:rsidP="00C05C9D">
      <w:pPr>
        <w:ind w:left="2268" w:hanging="2268"/>
      </w:pPr>
      <w:r>
        <w:t>- Intensidad nominal:</w:t>
      </w:r>
      <w:r>
        <w:tab/>
        <w:t xml:space="preserve">aunque hay varios calibres disponibles, sólo aquellos con elevado grado de utilización (demanda) tienen un precio realmente interesante. </w:t>
      </w:r>
    </w:p>
    <w:p w14:paraId="35B52622" w14:textId="77777777" w:rsidR="00C05C9D" w:rsidRDefault="00C05C9D" w:rsidP="00C05C9D">
      <w:pPr>
        <w:ind w:left="2268" w:hanging="2268"/>
      </w:pPr>
      <w:r>
        <w:tab/>
        <w:t>Calibres disponibles: 25, 40, 63 A.</w:t>
      </w:r>
    </w:p>
    <w:p w14:paraId="0184B927" w14:textId="77777777" w:rsidR="00C05C9D" w:rsidRDefault="00C05C9D" w:rsidP="00C05C9D">
      <w:pPr>
        <w:ind w:left="2268" w:hanging="2268"/>
      </w:pPr>
      <w:r>
        <w:tab/>
        <w:t>En gama industrial: 80, 100, 125 A.</w:t>
      </w:r>
    </w:p>
    <w:p w14:paraId="5BBFB5A1" w14:textId="77777777" w:rsidR="00C05C9D" w:rsidRDefault="00C05C9D" w:rsidP="00C05C9D">
      <w:pPr>
        <w:ind w:left="2268" w:hanging="2268"/>
      </w:pPr>
      <w:r>
        <w:tab/>
        <w:t>Para altas potencias:</w:t>
      </w:r>
      <w:r>
        <w:tab/>
        <w:t xml:space="preserve"> emplear bloque diferencial.</w:t>
      </w:r>
    </w:p>
    <w:p w14:paraId="64A7BEA0" w14:textId="77777777" w:rsidR="00C05C9D" w:rsidRDefault="00C05C9D" w:rsidP="00C05C9D">
      <w:pPr>
        <w:ind w:left="2268" w:hanging="2268"/>
      </w:pPr>
      <w:r>
        <w:t>- Sensibilidad:</w:t>
      </w:r>
      <w:r>
        <w:tab/>
        <w:t>Valores disponibles:  10, 30, 300, 300, 500 mA.</w:t>
      </w:r>
    </w:p>
    <w:p w14:paraId="1248DCF7" w14:textId="77777777" w:rsidR="00C05C9D" w:rsidRDefault="00C05C9D" w:rsidP="00C05C9D">
      <w:pPr>
        <w:ind w:left="2268" w:hanging="2268"/>
      </w:pPr>
      <w:r>
        <w:tab/>
        <w:t>Otros valores: en relés ajustables.</w:t>
      </w:r>
    </w:p>
    <w:p w14:paraId="1051A53C" w14:textId="77777777" w:rsidR="00C05C9D" w:rsidRDefault="00C05C9D" w:rsidP="00C05C9D">
      <w:pPr>
        <w:ind w:left="2268" w:hanging="2268"/>
      </w:pPr>
      <w:r>
        <w:t>- Tipo:</w:t>
      </w:r>
      <w:r>
        <w:tab/>
        <w:t>si es necesario, indicar el tipo AC, A o B.</w:t>
      </w:r>
    </w:p>
    <w:p w14:paraId="273C9670" w14:textId="77777777" w:rsidR="00C05C9D" w:rsidRDefault="00C05C9D" w:rsidP="00C05C9D"/>
    <w:p w14:paraId="5A63FD89" w14:textId="77777777" w:rsidR="00C05C9D" w:rsidRDefault="00C05C9D" w:rsidP="00C05C9D">
      <w:r>
        <w:t>Dado que un interruptor diferencial no es una protección frente a cortocircuitos, su poder de corte y de cierre no resultan relevantes. Pero por lo mismo no debe olvida</w:t>
      </w:r>
      <w:r>
        <w:t>r</w:t>
      </w:r>
      <w:r>
        <w:t>se combinar adecuadamente uno o varios magnetotérmicos en el circuito protegido por el diferencial, para que asuman la debida protección frente a esos fenómenos.</w:t>
      </w:r>
    </w:p>
    <w:p w14:paraId="639B29A8" w14:textId="467B7A11" w:rsidR="00631568" w:rsidRDefault="00631568" w:rsidP="00631568">
      <w:pPr>
        <w:pStyle w:val="Ttulo1"/>
      </w:pPr>
      <w:r>
        <w:t>Diseño de cuadros de protecciones</w:t>
      </w:r>
    </w:p>
    <w:p w14:paraId="0A06A882" w14:textId="0A4C0096" w:rsidR="00631568" w:rsidRDefault="00631568" w:rsidP="00631568">
      <w:pPr>
        <w:pStyle w:val="Ttulo2"/>
      </w:pPr>
      <w:r>
        <w:t>Esquema de bloques de toda la instalación</w:t>
      </w:r>
    </w:p>
    <w:p w14:paraId="3AF8A312" w14:textId="491DB9DF" w:rsidR="00834356" w:rsidRDefault="00834356" w:rsidP="00834356">
      <w:r>
        <w:t>Imprescindible para comprender la estructura de la red eléctrica que se crea:</w:t>
      </w:r>
    </w:p>
    <w:p w14:paraId="78A919B4" w14:textId="5F762714" w:rsidR="00631568" w:rsidRDefault="00BE604A" w:rsidP="00631568">
      <w:r>
        <w:rPr>
          <w:noProof/>
          <w:lang w:val="es-ES"/>
        </w:rPr>
        <w:drawing>
          <wp:inline distT="0" distB="0" distL="0" distR="0" wp14:anchorId="45EB9835" wp14:editId="17C5BBA7">
            <wp:extent cx="5131435" cy="2761659"/>
            <wp:effectExtent l="0" t="0" r="0" b="6985"/>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1435" cy="2761659"/>
                    </a:xfrm>
                    <a:prstGeom prst="rect">
                      <a:avLst/>
                    </a:prstGeom>
                    <a:noFill/>
                    <a:ln>
                      <a:noFill/>
                    </a:ln>
                  </pic:spPr>
                </pic:pic>
              </a:graphicData>
            </a:graphic>
          </wp:inline>
        </w:drawing>
      </w:r>
    </w:p>
    <w:p w14:paraId="04F80C33" w14:textId="77777777" w:rsidR="00834356" w:rsidRPr="00CC0E80" w:rsidRDefault="00834356" w:rsidP="00834356">
      <w:pPr>
        <w:ind w:left="-426" w:right="-424"/>
        <w:jc w:val="center"/>
        <w:rPr>
          <w:rFonts w:cs="Verdana"/>
          <w:sz w:val="18"/>
          <w:szCs w:val="24"/>
          <w:lang w:bidi="es-ES_tradnl"/>
        </w:rPr>
      </w:pPr>
      <w:r w:rsidRPr="00CC0E80">
        <w:rPr>
          <w:rFonts w:cs="Verdana"/>
          <w:sz w:val="18"/>
          <w:szCs w:val="24"/>
          <w:lang w:bidi="es-ES_tradnl"/>
        </w:rPr>
        <w:t>Ejemplo de diagrama de bloques</w:t>
      </w:r>
    </w:p>
    <w:p w14:paraId="195FA2DF" w14:textId="77777777" w:rsidR="00834356" w:rsidRDefault="00834356" w:rsidP="00631568"/>
    <w:p w14:paraId="60E1957C" w14:textId="77777777" w:rsidR="00834356" w:rsidRPr="00CC0E80" w:rsidRDefault="00834356" w:rsidP="00834356">
      <w:pPr>
        <w:ind w:left="-426" w:right="-424"/>
        <w:jc w:val="center"/>
        <w:rPr>
          <w:rFonts w:cs="Verdana"/>
          <w:sz w:val="18"/>
          <w:szCs w:val="24"/>
          <w:lang w:bidi="es-ES_tradnl"/>
        </w:rPr>
      </w:pPr>
      <w:r>
        <w:rPr>
          <w:rFonts w:cs="Verdana"/>
          <w:noProof/>
          <w:sz w:val="18"/>
          <w:szCs w:val="24"/>
          <w:lang w:val="es-ES"/>
        </w:rPr>
        <w:drawing>
          <wp:inline distT="0" distB="0" distL="0" distR="0" wp14:anchorId="6934B04E" wp14:editId="255C881D">
            <wp:extent cx="5554345" cy="242125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4345" cy="2421255"/>
                    </a:xfrm>
                    <a:prstGeom prst="rect">
                      <a:avLst/>
                    </a:prstGeom>
                    <a:noFill/>
                    <a:ln>
                      <a:noFill/>
                    </a:ln>
                  </pic:spPr>
                </pic:pic>
              </a:graphicData>
            </a:graphic>
          </wp:inline>
        </w:drawing>
      </w:r>
    </w:p>
    <w:p w14:paraId="49309E46" w14:textId="77777777" w:rsidR="00834356" w:rsidRPr="00CC0E80" w:rsidRDefault="00834356" w:rsidP="00834356">
      <w:pPr>
        <w:ind w:left="-426" w:right="-424"/>
        <w:jc w:val="center"/>
        <w:rPr>
          <w:rFonts w:cs="Verdana"/>
          <w:sz w:val="18"/>
          <w:szCs w:val="24"/>
          <w:lang w:bidi="es-ES_tradnl"/>
        </w:rPr>
      </w:pPr>
      <w:r w:rsidRPr="00CC0E80">
        <w:rPr>
          <w:rFonts w:cs="Verdana"/>
          <w:sz w:val="18"/>
          <w:szCs w:val="24"/>
          <w:lang w:bidi="es-ES_tradnl"/>
        </w:rPr>
        <w:t>Ejemplo de diagrama de bloques</w:t>
      </w:r>
    </w:p>
    <w:p w14:paraId="147068FF" w14:textId="5C2D6F3C" w:rsidR="00834356" w:rsidRDefault="00834356" w:rsidP="00834356">
      <w:pPr>
        <w:pStyle w:val="Prrafodelista"/>
        <w:numPr>
          <w:ilvl w:val="0"/>
          <w:numId w:val="15"/>
        </w:numPr>
        <w:ind w:left="714" w:hanging="357"/>
        <w:contextualSpacing w:val="0"/>
      </w:pPr>
      <w:bookmarkStart w:id="11" w:name="_Toc491543028"/>
      <w:r>
        <w:t>Cada bloque corresponde con un cuadro o armario de protecciones eléctr</w:t>
      </w:r>
      <w:r>
        <w:t>i</w:t>
      </w:r>
      <w:r>
        <w:t>cas.</w:t>
      </w:r>
    </w:p>
    <w:p w14:paraId="6D440DE0" w14:textId="3DBDF8DF" w:rsidR="00834356" w:rsidRDefault="00834356" w:rsidP="00834356">
      <w:pPr>
        <w:pStyle w:val="Prrafodelista"/>
        <w:numPr>
          <w:ilvl w:val="0"/>
          <w:numId w:val="15"/>
        </w:numPr>
        <w:ind w:left="714" w:hanging="357"/>
        <w:contextualSpacing w:val="0"/>
      </w:pPr>
      <w:r>
        <w:t>Cada unión entre bloques corresponde con una línea o circuito.</w:t>
      </w:r>
    </w:p>
    <w:p w14:paraId="3C014579" w14:textId="6D4EB1DE" w:rsidR="00834356" w:rsidRDefault="00834356" w:rsidP="00834356">
      <w:pPr>
        <w:pStyle w:val="Prrafodelista"/>
        <w:numPr>
          <w:ilvl w:val="0"/>
          <w:numId w:val="15"/>
        </w:numPr>
        <w:ind w:left="714" w:hanging="357"/>
        <w:contextualSpacing w:val="0"/>
      </w:pPr>
      <w:r>
        <w:t>Pueden incluise breves referencias que ayuden a interpretar el esquema ("conmutación automática", "n</w:t>
      </w:r>
      <w:r>
        <w:t>i</w:t>
      </w:r>
      <w:r>
        <w:t>vel -1", "local mojado", etc).</w:t>
      </w:r>
    </w:p>
    <w:p w14:paraId="4902491C" w14:textId="561135A6" w:rsidR="00C05C9D" w:rsidRPr="00CC0E80" w:rsidRDefault="00C05C9D" w:rsidP="00C05C9D">
      <w:pPr>
        <w:pStyle w:val="Ttulo2"/>
      </w:pPr>
      <w:r w:rsidRPr="00CC0E80">
        <w:t xml:space="preserve">Diseño de </w:t>
      </w:r>
      <w:r w:rsidR="00834356">
        <w:t xml:space="preserve">cuadros de </w:t>
      </w:r>
      <w:r w:rsidRPr="00CC0E80">
        <w:t>protecciones eléctricas</w:t>
      </w:r>
      <w:bookmarkEnd w:id="11"/>
    </w:p>
    <w:p w14:paraId="77BB96ED" w14:textId="77777777" w:rsidR="00C05C9D" w:rsidRPr="00CC0E80" w:rsidRDefault="00C05C9D" w:rsidP="00C05C9D">
      <w:r w:rsidRPr="00CC0E80">
        <w:t>Las protecciones eléctricas se deben instalar teniendo en cuenta los criterios de la ITC-BT 24, y también las ITCs 17 y 22 entre otras.</w:t>
      </w:r>
    </w:p>
    <w:p w14:paraId="729A078B" w14:textId="77777777" w:rsidR="00C05C9D" w:rsidRPr="00CC0E80" w:rsidRDefault="00C05C9D" w:rsidP="00C05C9D">
      <w:r w:rsidRPr="00CC0E80">
        <w:t>Se distribuirán en cuadros y subcuadros, según un esquema ramificado en forma de árbol invertido, desde un tronco común hacia las ramas que serán los circuitos de utilización finales.</w:t>
      </w:r>
    </w:p>
    <w:p w14:paraId="1A204CAB" w14:textId="77777777" w:rsidR="00C05C9D" w:rsidRDefault="00C05C9D" w:rsidP="00C05C9D">
      <w:r w:rsidRPr="00CC0E80">
        <w:t>Es preciso respetar ciertas reglas o criterios para llegar a un diseño coherente desde el punto de vista de la seguridad, y fiable desde el punto de vista de la utilización.</w:t>
      </w:r>
    </w:p>
    <w:p w14:paraId="7FB32DD6" w14:textId="77777777" w:rsidR="00151E81" w:rsidRPr="00CC0E80" w:rsidRDefault="00151E81" w:rsidP="00C05C9D"/>
    <w:p w14:paraId="642A089F" w14:textId="77777777" w:rsidR="00C05C9D" w:rsidRPr="00CC0E80" w:rsidRDefault="00C05C9D" w:rsidP="00C05C9D">
      <w:pPr>
        <w:rPr>
          <w:smallCaps/>
        </w:rPr>
      </w:pPr>
      <w:r w:rsidRPr="00CC0E80">
        <w:rPr>
          <w:smallCaps/>
        </w:rPr>
        <w:t>Criterios:</w:t>
      </w:r>
    </w:p>
    <w:p w14:paraId="3B99A70F" w14:textId="77777777" w:rsidR="00C05C9D" w:rsidRPr="00CC0E80" w:rsidRDefault="00C05C9D" w:rsidP="00C05C9D">
      <w:pPr>
        <w:rPr>
          <w:smallCaps/>
        </w:rPr>
      </w:pPr>
    </w:p>
    <w:p w14:paraId="10AAC87D" w14:textId="77777777" w:rsidR="00C05C9D" w:rsidRPr="00CC0E80" w:rsidRDefault="00C05C9D" w:rsidP="00C05C9D">
      <w:pPr>
        <w:ind w:left="1134" w:hanging="1134"/>
      </w:pPr>
      <w:r w:rsidRPr="00CC0E80">
        <w:t>Primero:</w:t>
      </w:r>
      <w:r w:rsidRPr="00CC0E80">
        <w:tab/>
        <w:t>Las protecciones de uso habitual son bastante baratas. Hay que emplear todas las que sean necesarias y, en caso de dudar si una protección es conveniente o no, hay que decidirse por añadirla.</w:t>
      </w:r>
    </w:p>
    <w:p w14:paraId="02DA1551" w14:textId="77777777" w:rsidR="00C05C9D" w:rsidRPr="00CC0E80" w:rsidRDefault="00C05C9D" w:rsidP="00C05C9D">
      <w:pPr>
        <w:ind w:left="1134" w:hanging="1134"/>
      </w:pPr>
      <w:r w:rsidRPr="00CC0E80">
        <w:t>Segundo:</w:t>
      </w:r>
      <w:r w:rsidRPr="00CC0E80">
        <w:tab/>
        <w:t>Siempre que sea posible deben configurarse sistemas de distribución de energía trifásicos antes que monofásicos. Y los sistemas trifásicos se procurará que queden equilibrados. Solo en caso de que un sistema tr</w:t>
      </w:r>
      <w:r w:rsidRPr="00CC0E80">
        <w:t>i</w:t>
      </w:r>
      <w:r w:rsidRPr="00CC0E80">
        <w:t>fásico sencillo vaya a quedar evidentemente desequilibrado puede est</w:t>
      </w:r>
      <w:r w:rsidRPr="00CC0E80">
        <w:t>u</w:t>
      </w:r>
      <w:r w:rsidRPr="00CC0E80">
        <w:t>diarse transformarlo en monofásico.</w:t>
      </w:r>
    </w:p>
    <w:p w14:paraId="037076DB" w14:textId="77777777" w:rsidR="00C05C9D" w:rsidRPr="00CC0E80" w:rsidRDefault="00C05C9D" w:rsidP="00C05C9D">
      <w:pPr>
        <w:ind w:left="1134" w:hanging="1134"/>
      </w:pPr>
      <w:r w:rsidRPr="00CC0E80">
        <w:t>Tercero:</w:t>
      </w:r>
      <w:r w:rsidRPr="00CC0E80">
        <w:tab/>
        <w:t>La selectividad entre protecciones magnetotérmicas suele quedar est</w:t>
      </w:r>
      <w:r w:rsidRPr="00CC0E80">
        <w:t>a</w:t>
      </w:r>
      <w:r w:rsidRPr="00CC0E80">
        <w:t>blecida a partir de la jerarquía de sus valores nominales. Por ello las pr</w:t>
      </w:r>
      <w:r w:rsidRPr="00CC0E80">
        <w:t>o</w:t>
      </w:r>
      <w:r w:rsidRPr="00CC0E80">
        <w:t>tecciones situadas aguas abajo deben ser más pequeñas que las que se van encontrando al recorrer el árbol del esquema de distribución aguas arriba. La de mayor calibre será la asignada a la protección de todo el sistema de distribución.</w:t>
      </w:r>
    </w:p>
    <w:p w14:paraId="0C8C6C68" w14:textId="77777777" w:rsidR="00C05C9D" w:rsidRPr="00CC0E80" w:rsidRDefault="00C05C9D" w:rsidP="00C05C9D">
      <w:pPr>
        <w:ind w:left="1134" w:hanging="1134"/>
      </w:pPr>
      <w:r w:rsidRPr="00CC0E80">
        <w:t>Cuarto:</w:t>
      </w:r>
      <w:r w:rsidRPr="00CC0E80">
        <w:tab/>
        <w:t xml:space="preserve">La selectividad entre protecciones diferenciales no existe. Por tanto, no pretenda inventarla con protecciones de distinto umbral de sensibilidad o con distinto calibre nominal. Es ridículo. </w:t>
      </w:r>
    </w:p>
    <w:p w14:paraId="022788C6" w14:textId="77777777" w:rsidR="00C05C9D" w:rsidRPr="00CC0E80" w:rsidRDefault="00C05C9D" w:rsidP="00C05C9D">
      <w:pPr>
        <w:ind w:left="1134" w:hanging="1134"/>
      </w:pPr>
      <w:r w:rsidRPr="00CC0E80">
        <w:tab/>
        <w:t>Por lo tanto son ridículos también los interruptores diferenciales en ca</w:t>
      </w:r>
      <w:r w:rsidRPr="00CC0E80">
        <w:t>s</w:t>
      </w:r>
      <w:r w:rsidRPr="00CC0E80">
        <w:t>cada: sobran todos salvo el situado aguas abajo.</w:t>
      </w:r>
    </w:p>
    <w:p w14:paraId="41B6C496" w14:textId="77777777" w:rsidR="00C05C9D" w:rsidRPr="00CC0E80" w:rsidRDefault="00C05C9D" w:rsidP="00C05C9D">
      <w:pPr>
        <w:ind w:left="1134" w:hanging="1134"/>
      </w:pPr>
      <w:r w:rsidRPr="00CC0E80">
        <w:t>Quinto:</w:t>
      </w:r>
      <w:r w:rsidRPr="00CC0E80">
        <w:tab/>
        <w:t>La protección contra contactos indirectos por corte automático de la alimentación no es el único modo de protección contra contactos ind</w:t>
      </w:r>
      <w:r w:rsidRPr="00CC0E80">
        <w:t>i</w:t>
      </w:r>
      <w:r w:rsidRPr="00CC0E80">
        <w:t>rectos que existe. El propio RBT ofrece varias alternativas más (ver ITC-BT 24 capítulo 4). De manera que los diferenciales se reservarán para el último lugar, aguas abajo, en que sea posible colocar una protección de este tipo. Aguas arriba de ellos se emplearán otros sistemas reglament</w:t>
      </w:r>
      <w:r w:rsidRPr="00CC0E80">
        <w:t>a</w:t>
      </w:r>
      <w:r w:rsidRPr="00CC0E80">
        <w:t>rios.</w:t>
      </w:r>
    </w:p>
    <w:p w14:paraId="1BA08B53" w14:textId="77777777" w:rsidR="00C05C9D" w:rsidRPr="00CC0E80" w:rsidRDefault="00C05C9D" w:rsidP="00C05C9D">
      <w:pPr>
        <w:ind w:left="1134" w:hanging="1134"/>
      </w:pPr>
      <w:r w:rsidRPr="00CC0E80">
        <w:t>Sexto:</w:t>
      </w:r>
      <w:r w:rsidRPr="00CC0E80">
        <w:tab/>
        <w:t>Hay que poner atención en la selección de los calibres de los diferenci</w:t>
      </w:r>
      <w:r w:rsidRPr="00CC0E80">
        <w:t>a</w:t>
      </w:r>
      <w:r w:rsidRPr="00CC0E80">
        <w:t>les para que no se les obligue nunca a cortar intensidades superiores a su valor nominal. Para ello se utiliza o un magnetotérmico de calibre ad</w:t>
      </w:r>
      <w:r w:rsidRPr="00CC0E80">
        <w:t>e</w:t>
      </w:r>
      <w:r w:rsidRPr="00CC0E80">
        <w:t>cuado en serie, o se comprueba que la suma de intensidades limitadas por los magnetotérmicos aguas abajo no va a superar el calibre del dif</w:t>
      </w:r>
      <w:r w:rsidRPr="00CC0E80">
        <w:t>e</w:t>
      </w:r>
      <w:r w:rsidRPr="00CC0E80">
        <w:t xml:space="preserve">rencial. </w:t>
      </w:r>
    </w:p>
    <w:p w14:paraId="6D7AE011" w14:textId="79B24D83" w:rsidR="00C05C9D" w:rsidRDefault="00834356" w:rsidP="00834356">
      <w:pPr>
        <w:pStyle w:val="Ttulo2"/>
        <w:rPr>
          <w:lang w:bidi="es-ES_tradnl"/>
        </w:rPr>
      </w:pPr>
      <w:r>
        <w:rPr>
          <w:lang w:bidi="es-ES_tradnl"/>
        </w:rPr>
        <w:t>Esquema unifilar</w:t>
      </w:r>
    </w:p>
    <w:p w14:paraId="3B1EDACD" w14:textId="77777777" w:rsidR="00151E81" w:rsidRDefault="00151E81" w:rsidP="00151E81">
      <w:r>
        <w:rPr>
          <w:noProof/>
          <w:lang w:val="es-ES"/>
        </w:rPr>
        <w:drawing>
          <wp:inline distT="0" distB="0" distL="0" distR="0" wp14:anchorId="45FB4E51" wp14:editId="54F85A88">
            <wp:extent cx="5131435" cy="1653899"/>
            <wp:effectExtent l="0" t="0" r="0" b="0"/>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1435" cy="1653899"/>
                    </a:xfrm>
                    <a:prstGeom prst="rect">
                      <a:avLst/>
                    </a:prstGeom>
                    <a:noFill/>
                    <a:ln>
                      <a:noFill/>
                    </a:ln>
                  </pic:spPr>
                </pic:pic>
              </a:graphicData>
            </a:graphic>
          </wp:inline>
        </w:drawing>
      </w:r>
    </w:p>
    <w:p w14:paraId="29BCAB10" w14:textId="56024001" w:rsidR="00151E81" w:rsidRPr="00CC0E80" w:rsidRDefault="00151E81" w:rsidP="00151E81">
      <w:pPr>
        <w:ind w:left="-426" w:right="-424"/>
        <w:jc w:val="center"/>
        <w:rPr>
          <w:rFonts w:cs="Verdana"/>
          <w:sz w:val="18"/>
          <w:szCs w:val="24"/>
          <w:lang w:bidi="es-ES_tradnl"/>
        </w:rPr>
      </w:pPr>
      <w:r w:rsidRPr="00CC0E80">
        <w:rPr>
          <w:rFonts w:cs="Verdana"/>
          <w:sz w:val="18"/>
          <w:szCs w:val="24"/>
          <w:lang w:bidi="es-ES_tradnl"/>
        </w:rPr>
        <w:t>E</w:t>
      </w:r>
      <w:r>
        <w:rPr>
          <w:rFonts w:cs="Verdana"/>
          <w:sz w:val="18"/>
          <w:szCs w:val="24"/>
          <w:lang w:bidi="es-ES_tradnl"/>
        </w:rPr>
        <w:t>squema unifilar de media tensión</w:t>
      </w:r>
    </w:p>
    <w:p w14:paraId="776BB0E7" w14:textId="77777777" w:rsidR="00C05C9D" w:rsidRDefault="00C05C9D" w:rsidP="00C05C9D"/>
    <w:p w14:paraId="2F5E54E2" w14:textId="77777777" w:rsidR="00151E81" w:rsidRPr="008E62AF" w:rsidRDefault="00151E81" w:rsidP="00C05C9D"/>
    <w:p w14:paraId="27A0E95C" w14:textId="77777777" w:rsidR="00C05C9D" w:rsidRDefault="00C05C9D" w:rsidP="00C05C9D">
      <w:pPr>
        <w:pStyle w:val="Ttulo1"/>
        <w:rPr>
          <w:rFonts w:cs="Times-Roman"/>
          <w:szCs w:val="32"/>
          <w:lang w:bidi="es-ES_tradnl"/>
        </w:rPr>
      </w:pPr>
      <w:bookmarkStart w:id="12" w:name="_Toc491543032"/>
      <w:r>
        <w:rPr>
          <w:rFonts w:cs="Times-Roman"/>
          <w:szCs w:val="32"/>
          <w:lang w:bidi="es-ES_tradnl"/>
        </w:rPr>
        <w:t>Nociones de cálculo de conductores. Diseño de circuitos</w:t>
      </w:r>
      <w:bookmarkEnd w:id="12"/>
    </w:p>
    <w:p w14:paraId="632541F7" w14:textId="77777777" w:rsidR="00C05C9D" w:rsidRPr="00CC0E80" w:rsidRDefault="00C05C9D" w:rsidP="00C05C9D">
      <w:pPr>
        <w:pStyle w:val="Ttulo2"/>
      </w:pPr>
      <w:bookmarkStart w:id="13" w:name="_Toc491543033"/>
      <w:r w:rsidRPr="00CC0E80">
        <w:t>Selección de conductores</w:t>
      </w:r>
      <w:bookmarkEnd w:id="13"/>
    </w:p>
    <w:p w14:paraId="27608EE0" w14:textId="77777777" w:rsidR="00C05C9D" w:rsidRPr="00CC0E80" w:rsidRDefault="00C05C9D" w:rsidP="00C05C9D">
      <w:r w:rsidRPr="00CC0E80">
        <w:t>Los conductores para instalaciones de baja tensión deben ser del tipo previsto en el capítulo 2 de la ITC-BT 19 o mejores. Para su selección se estará a los criterios de la norma UNE 20460-5-523, aunque suele bastar con aplicar la tabla 1 de la ITC-BT 19.</w:t>
      </w:r>
    </w:p>
    <w:p w14:paraId="3E5601AA" w14:textId="77777777" w:rsidR="00C05C9D" w:rsidRPr="00CC0E80" w:rsidRDefault="00C05C9D" w:rsidP="00C05C9D">
      <w:r w:rsidRPr="00CC0E80">
        <w:t>En la práctica los criterios a seguir para la elección del conductor apropiado son los siguientes:</w:t>
      </w:r>
    </w:p>
    <w:p w14:paraId="048AABE1" w14:textId="77777777" w:rsidR="00C05C9D" w:rsidRPr="00CC0E80" w:rsidRDefault="00C05C9D" w:rsidP="00C05C9D">
      <w:r w:rsidRPr="00CC0E80">
        <w:t>1. Determinar:</w:t>
      </w:r>
    </w:p>
    <w:p w14:paraId="56F09766" w14:textId="77777777" w:rsidR="00C05C9D" w:rsidRPr="00CC0E80" w:rsidRDefault="00C05C9D" w:rsidP="00C05C9D">
      <w:pPr>
        <w:ind w:left="709"/>
      </w:pPr>
      <w:r w:rsidRPr="00CC0E80">
        <w:t>1.1</w:t>
      </w:r>
      <w:r w:rsidRPr="00CC0E80">
        <w:tab/>
        <w:t>El tipo de circuito o línea: monofásico o trifásico, con o sin neutro.</w:t>
      </w:r>
    </w:p>
    <w:p w14:paraId="66ED1AE4" w14:textId="77777777" w:rsidR="00C05C9D" w:rsidRPr="00CC0E80" w:rsidRDefault="00C05C9D" w:rsidP="00C05C9D">
      <w:pPr>
        <w:spacing w:before="0"/>
        <w:ind w:left="709"/>
      </w:pPr>
      <w:r w:rsidRPr="00CC0E80">
        <w:t>1.2</w:t>
      </w:r>
      <w:r w:rsidRPr="00CC0E80">
        <w:tab/>
        <w:t>La tensión nominal de la red.</w:t>
      </w:r>
    </w:p>
    <w:p w14:paraId="312D79D1" w14:textId="77777777" w:rsidR="00C05C9D" w:rsidRPr="00CC0E80" w:rsidRDefault="00C05C9D" w:rsidP="00C05C9D">
      <w:pPr>
        <w:spacing w:before="0"/>
        <w:ind w:left="709"/>
      </w:pPr>
      <w:r w:rsidRPr="00CC0E80">
        <w:t>1.3</w:t>
      </w:r>
      <w:r w:rsidRPr="00CC0E80">
        <w:tab/>
        <w:t>La potencia nominal de la carga colocada en su extremo.</w:t>
      </w:r>
    </w:p>
    <w:p w14:paraId="38A70A5D" w14:textId="77777777" w:rsidR="00C05C9D" w:rsidRPr="00CC0E80" w:rsidRDefault="00C05C9D" w:rsidP="00C05C9D">
      <w:pPr>
        <w:spacing w:before="0"/>
        <w:ind w:left="709"/>
      </w:pPr>
      <w:r w:rsidRPr="00CC0E80">
        <w:t>1.4</w:t>
      </w:r>
      <w:r w:rsidRPr="00CC0E80">
        <w:tab/>
        <w:t>La longitud del conductor</w:t>
      </w:r>
    </w:p>
    <w:p w14:paraId="7B45578A" w14:textId="77777777" w:rsidR="00C05C9D" w:rsidRPr="00CC0E80" w:rsidRDefault="00C05C9D" w:rsidP="00C05C9D">
      <w:r w:rsidRPr="00CC0E80">
        <w:t>2.</w:t>
      </w:r>
      <w:r w:rsidRPr="00CC0E80">
        <w:tab/>
        <w:t>Elegir:</w:t>
      </w:r>
    </w:p>
    <w:p w14:paraId="2E3C4D75" w14:textId="77777777" w:rsidR="00C05C9D" w:rsidRPr="00CC0E80" w:rsidRDefault="00C05C9D" w:rsidP="00C05C9D">
      <w:pPr>
        <w:ind w:left="709"/>
      </w:pPr>
      <w:r w:rsidRPr="00CC0E80">
        <w:t>2.1</w:t>
      </w:r>
      <w:r w:rsidRPr="00CC0E80">
        <w:tab/>
        <w:t>El material conductor: cobre o aluminio</w:t>
      </w:r>
    </w:p>
    <w:p w14:paraId="5A7452F3" w14:textId="77777777" w:rsidR="00C05C9D" w:rsidRPr="00CC0E80" w:rsidRDefault="00C05C9D" w:rsidP="00C05C9D">
      <w:pPr>
        <w:spacing w:before="0"/>
        <w:ind w:left="709"/>
      </w:pPr>
      <w:r w:rsidRPr="00CC0E80">
        <w:t>2.2</w:t>
      </w:r>
      <w:r w:rsidRPr="00CC0E80">
        <w:tab/>
        <w:t>El tipo de conductor: unipolar o multipolar</w:t>
      </w:r>
    </w:p>
    <w:p w14:paraId="3B9F1F20" w14:textId="77777777" w:rsidR="00C05C9D" w:rsidRPr="00CC0E80" w:rsidRDefault="00C05C9D" w:rsidP="00C05C9D">
      <w:pPr>
        <w:spacing w:before="0"/>
        <w:ind w:left="709"/>
      </w:pPr>
      <w:r w:rsidRPr="00CC0E80">
        <w:t>2.3</w:t>
      </w:r>
      <w:r w:rsidRPr="00CC0E80">
        <w:tab/>
        <w:t>El tipo de aislamiento:</w:t>
      </w:r>
    </w:p>
    <w:p w14:paraId="6279E936" w14:textId="77777777" w:rsidR="00C05C9D" w:rsidRPr="00CC0E80" w:rsidRDefault="00C05C9D" w:rsidP="00C05C9D">
      <w:pPr>
        <w:spacing w:before="0"/>
        <w:ind w:left="1418"/>
      </w:pPr>
      <w:r w:rsidRPr="00CC0E80">
        <w:t>- PVC o Z1: para funcionamiento normal hasta 70 ºC</w:t>
      </w:r>
    </w:p>
    <w:p w14:paraId="79F4AD9B" w14:textId="77777777" w:rsidR="00C05C9D" w:rsidRPr="00CC0E80" w:rsidRDefault="00C05C9D" w:rsidP="00C05C9D">
      <w:pPr>
        <w:spacing w:before="0"/>
        <w:ind w:left="1418"/>
      </w:pPr>
      <w:r w:rsidRPr="00CC0E80">
        <w:t>- XLPE, EPR, S o Z: para funcionamiento normal hasta 90 ºC</w:t>
      </w:r>
    </w:p>
    <w:p w14:paraId="3AB51037" w14:textId="77777777" w:rsidR="00C05C9D" w:rsidRPr="00CC0E80" w:rsidRDefault="00C05C9D" w:rsidP="00C05C9D">
      <w:pPr>
        <w:spacing w:before="0"/>
        <w:ind w:left="709"/>
      </w:pPr>
      <w:r w:rsidRPr="00CC0E80">
        <w:t>2.4</w:t>
      </w:r>
      <w:r w:rsidRPr="00CC0E80">
        <w:tab/>
        <w:t>El método de instalación:</w:t>
      </w:r>
    </w:p>
    <w:p w14:paraId="4F3BE007" w14:textId="77777777" w:rsidR="00C05C9D" w:rsidRPr="00CC0E80" w:rsidRDefault="00C05C9D" w:rsidP="00C05C9D">
      <w:pPr>
        <w:spacing w:before="0"/>
        <w:ind w:left="709"/>
      </w:pPr>
      <w:r w:rsidRPr="00CC0E80">
        <w:t>2.5</w:t>
      </w:r>
      <w:r w:rsidRPr="00CC0E80">
        <w:tab/>
        <w:t>La sección del conductor</w:t>
      </w:r>
    </w:p>
    <w:p w14:paraId="470E4269" w14:textId="77777777" w:rsidR="00C05C9D" w:rsidRPr="00CC0E80" w:rsidRDefault="00C05C9D" w:rsidP="00C05C9D">
      <w:r w:rsidRPr="00CC0E80">
        <w:t>3.</w:t>
      </w:r>
      <w:r w:rsidRPr="00CC0E80">
        <w:tab/>
        <w:t>Calcular:</w:t>
      </w:r>
    </w:p>
    <w:p w14:paraId="09169622" w14:textId="77777777" w:rsidR="00C05C9D" w:rsidRPr="00CC0E80" w:rsidRDefault="00C05C9D" w:rsidP="00C05C9D">
      <w:pPr>
        <w:spacing w:before="0"/>
        <w:ind w:left="1418" w:hanging="709"/>
      </w:pPr>
      <w:r w:rsidRPr="00CC0E80">
        <w:t>3.1</w:t>
      </w:r>
      <w:r w:rsidRPr="00CC0E80">
        <w:tab/>
        <w:t>La intensidad nominal del circuito o línea</w:t>
      </w:r>
    </w:p>
    <w:p w14:paraId="428A3D9D" w14:textId="77777777" w:rsidR="00C05C9D" w:rsidRPr="00CC0E80" w:rsidRDefault="00C05C9D" w:rsidP="00C05C9D">
      <w:pPr>
        <w:spacing w:before="0"/>
        <w:ind w:left="1418" w:hanging="709"/>
      </w:pPr>
      <w:r w:rsidRPr="00CC0E80">
        <w:t>3.2</w:t>
      </w:r>
      <w:r w:rsidRPr="00CC0E80">
        <w:tab/>
        <w:t>La intensidad admisible por el conductor en las condiciones de inst</w:t>
      </w:r>
      <w:r w:rsidRPr="00CC0E80">
        <w:t>a</w:t>
      </w:r>
      <w:r w:rsidRPr="00CC0E80">
        <w:t>lación</w:t>
      </w:r>
    </w:p>
    <w:p w14:paraId="4C6A90C4" w14:textId="77777777" w:rsidR="00C05C9D" w:rsidRPr="00CC0E80" w:rsidRDefault="00C05C9D" w:rsidP="00C05C9D">
      <w:pPr>
        <w:spacing w:before="0"/>
        <w:ind w:left="1418" w:hanging="709"/>
      </w:pPr>
      <w:r w:rsidRPr="00CC0E80">
        <w:t>3.3</w:t>
      </w:r>
      <w:r w:rsidRPr="00CC0E80">
        <w:tab/>
        <w:t>El margen de seguridad respecto de la intensidad máxima admisible</w:t>
      </w:r>
    </w:p>
    <w:p w14:paraId="2F409C26" w14:textId="77777777" w:rsidR="00C05C9D" w:rsidRPr="00CC0E80" w:rsidRDefault="00C05C9D" w:rsidP="00C05C9D">
      <w:pPr>
        <w:spacing w:before="0"/>
        <w:ind w:left="1418" w:hanging="709"/>
      </w:pPr>
      <w:r w:rsidRPr="00CC0E80">
        <w:t>3.4</w:t>
      </w:r>
      <w:r w:rsidRPr="00CC0E80">
        <w:tab/>
        <w:t>La caída de tensión en voltios y en porcentaje de la tensión nominal</w:t>
      </w:r>
    </w:p>
    <w:p w14:paraId="5CB33BB0" w14:textId="77777777" w:rsidR="00C05C9D" w:rsidRPr="00CC0E80" w:rsidRDefault="00C05C9D" w:rsidP="00C05C9D">
      <w:pPr>
        <w:spacing w:before="0"/>
        <w:ind w:left="1418" w:hanging="709"/>
      </w:pPr>
      <w:r w:rsidRPr="00CC0E80">
        <w:t>3.5</w:t>
      </w:r>
      <w:r w:rsidRPr="00CC0E80">
        <w:tab/>
        <w:t>La pérdida de potencia en el cable</w:t>
      </w:r>
    </w:p>
    <w:p w14:paraId="6305BFA1" w14:textId="77777777" w:rsidR="00C05C9D" w:rsidRPr="00CC0E80" w:rsidRDefault="00C05C9D" w:rsidP="00C05C9D">
      <w:pPr>
        <w:spacing w:before="0"/>
        <w:ind w:left="1418" w:hanging="709"/>
      </w:pPr>
      <w:r w:rsidRPr="00CC0E80">
        <w:t>3.6</w:t>
      </w:r>
      <w:r w:rsidRPr="00CC0E80">
        <w:tab/>
        <w:t>El rendimiento del circuito o línea</w:t>
      </w:r>
    </w:p>
    <w:p w14:paraId="6E956485" w14:textId="77777777" w:rsidR="00C05C9D" w:rsidRPr="00CC0E80" w:rsidRDefault="00C05C9D" w:rsidP="00C05C9D">
      <w:pPr>
        <w:pStyle w:val="Ttulo2"/>
      </w:pPr>
      <w:bookmarkStart w:id="14" w:name="_Toc491543034"/>
      <w:r w:rsidRPr="00CC0E80">
        <w:t>Diseño de circuitos por verificación de secciones</w:t>
      </w:r>
      <w:bookmarkEnd w:id="1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943"/>
        <w:gridCol w:w="5354"/>
      </w:tblGrid>
      <w:tr w:rsidR="00C05C9D" w:rsidRPr="00CC0E80" w14:paraId="12AE914B" w14:textId="77777777">
        <w:tc>
          <w:tcPr>
            <w:tcW w:w="2943" w:type="dxa"/>
          </w:tcPr>
          <w:p w14:paraId="743E24C5" w14:textId="77777777" w:rsidR="00C05C9D" w:rsidRPr="00CC0E80" w:rsidRDefault="00C05C9D" w:rsidP="00C05C9D">
            <w:r w:rsidRPr="00CC0E80">
              <w:t>En la figura puede verse un ejemplo del proceso de ver</w:t>
            </w:r>
            <w:r w:rsidRPr="00CC0E80">
              <w:t>i</w:t>
            </w:r>
            <w:r w:rsidRPr="00CC0E80">
              <w:t>ficación anterior impleme</w:t>
            </w:r>
            <w:r w:rsidRPr="00CC0E80">
              <w:t>n</w:t>
            </w:r>
            <w:r w:rsidRPr="00CC0E80">
              <w:t>tado en una página web con javascript.</w:t>
            </w:r>
          </w:p>
          <w:p w14:paraId="0F158D7C" w14:textId="77777777" w:rsidR="00C05C9D" w:rsidRPr="00CC0E80" w:rsidRDefault="00C05C9D" w:rsidP="00C05C9D">
            <w:r w:rsidRPr="00CC0E80">
              <w:t>Es muy sencillo hacer algo parecido empleando una sencilla hoja de cálculo.</w:t>
            </w:r>
          </w:p>
          <w:p w14:paraId="48E18186" w14:textId="77777777" w:rsidR="00C05C9D" w:rsidRPr="00CC0E80" w:rsidRDefault="00C05C9D" w:rsidP="00C05C9D">
            <w:r w:rsidRPr="00CC0E80">
              <w:t>Los datos deben extraerse de la norma UNE 20460-5-523.</w:t>
            </w:r>
          </w:p>
          <w:p w14:paraId="0E32C35B" w14:textId="77777777" w:rsidR="00C05C9D" w:rsidRPr="00CC0E80" w:rsidRDefault="00C05C9D" w:rsidP="00C05C9D"/>
          <w:p w14:paraId="4C7D2D16" w14:textId="77777777" w:rsidR="00C05C9D" w:rsidRPr="00CC0E80" w:rsidRDefault="00C05C9D" w:rsidP="00C05C9D"/>
          <w:p w14:paraId="79377337" w14:textId="77777777" w:rsidR="00C05C9D" w:rsidRPr="00CC0E80" w:rsidRDefault="00C05C9D" w:rsidP="00C05C9D"/>
          <w:p w14:paraId="5F4BF718" w14:textId="77777777" w:rsidR="00C05C9D" w:rsidRPr="00CC0E80" w:rsidRDefault="00C05C9D" w:rsidP="00C05C9D"/>
          <w:p w14:paraId="00534623" w14:textId="77777777" w:rsidR="00C05C9D" w:rsidRPr="00CC0E80" w:rsidRDefault="00C05C9D" w:rsidP="00C05C9D">
            <w:r w:rsidRPr="00CC0E80">
              <w:t>Los conductores de cara</w:t>
            </w:r>
            <w:r w:rsidRPr="00CC0E80">
              <w:t>c</w:t>
            </w:r>
            <w:r w:rsidRPr="00CC0E80">
              <w:t>terísticas especiales, como mayores tensiones de ai</w:t>
            </w:r>
            <w:r w:rsidRPr="00CC0E80">
              <w:t>s</w:t>
            </w:r>
            <w:r w:rsidRPr="00CC0E80">
              <w:t>lamiento o mejor compo</w:t>
            </w:r>
            <w:r w:rsidRPr="00CC0E80">
              <w:t>r</w:t>
            </w:r>
            <w:r w:rsidRPr="00CC0E80">
              <w:t>tamiento frente a la temp</w:t>
            </w:r>
            <w:r w:rsidRPr="00CC0E80">
              <w:t>e</w:t>
            </w:r>
            <w:r w:rsidRPr="00CC0E80">
              <w:t>ratura, se irán viendo a lo largo del curso.</w:t>
            </w:r>
          </w:p>
        </w:tc>
        <w:tc>
          <w:tcPr>
            <w:tcW w:w="5354" w:type="dxa"/>
          </w:tcPr>
          <w:p w14:paraId="15B66E35" w14:textId="77777777" w:rsidR="00C05C9D" w:rsidRPr="00CC0E80" w:rsidRDefault="00836E5C" w:rsidP="00C05C9D">
            <w:pPr>
              <w:jc w:val="right"/>
            </w:pPr>
            <w:r>
              <w:rPr>
                <w:noProof/>
                <w:lang w:val="es-ES"/>
              </w:rPr>
              <w:drawing>
                <wp:inline distT="0" distB="0" distL="0" distR="0" wp14:anchorId="2473EC73" wp14:editId="0E42AD48">
                  <wp:extent cx="3014345" cy="43942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4345" cy="4394200"/>
                          </a:xfrm>
                          <a:prstGeom prst="rect">
                            <a:avLst/>
                          </a:prstGeom>
                          <a:noFill/>
                          <a:ln>
                            <a:noFill/>
                          </a:ln>
                        </pic:spPr>
                      </pic:pic>
                    </a:graphicData>
                  </a:graphic>
                </wp:inline>
              </w:drawing>
            </w:r>
          </w:p>
        </w:tc>
      </w:tr>
    </w:tbl>
    <w:p w14:paraId="4E08A844" w14:textId="77777777" w:rsidR="00C05C9D" w:rsidRDefault="00C05C9D" w:rsidP="00C05C9D">
      <w:pPr>
        <w:pStyle w:val="Ttulo1"/>
        <w:rPr>
          <w:rFonts w:cs="Verdana"/>
          <w:szCs w:val="24"/>
          <w:lang w:bidi="es-ES_tradnl"/>
        </w:rPr>
      </w:pPr>
      <w:bookmarkStart w:id="15" w:name="_Toc491543035"/>
      <w:r>
        <w:rPr>
          <w:rFonts w:cs="Times-Roman"/>
          <w:szCs w:val="32"/>
          <w:lang w:bidi="es-ES_tradnl"/>
        </w:rPr>
        <w:t>Receptores</w:t>
      </w:r>
      <w:bookmarkEnd w:id="15"/>
    </w:p>
    <w:p w14:paraId="3D2C29AD" w14:textId="77777777" w:rsidR="00C05C9D" w:rsidRPr="003B7484" w:rsidRDefault="00C05C9D" w:rsidP="00C05C9D">
      <w:pPr>
        <w:tabs>
          <w:tab w:val="left" w:pos="568"/>
          <w:tab w:val="right" w:leader="dot" w:pos="7655"/>
          <w:tab w:val="right" w:pos="8505"/>
        </w:tabs>
        <w:spacing w:before="0"/>
        <w:ind w:left="567" w:right="851" w:hanging="567"/>
        <w:rPr>
          <w:sz w:val="20"/>
        </w:rPr>
      </w:pPr>
    </w:p>
    <w:p w14:paraId="6247B041" w14:textId="77777777" w:rsidR="00C05C9D" w:rsidRPr="003B7484" w:rsidRDefault="00C05C9D" w:rsidP="00C05C9D">
      <w:r w:rsidRPr="003B7484">
        <w:t>Algunos tipos de receptores pueden requerir ciertas especialidades en cuanto a su tratamiento dentro de un sistema de distribución de energía eléctrica en baja tensión. Así ocurre, por ejemplo, con los siguientes:</w:t>
      </w:r>
    </w:p>
    <w:p w14:paraId="7341A8B8" w14:textId="77777777" w:rsidR="00C05C9D" w:rsidRPr="003B7484" w:rsidRDefault="00C05C9D" w:rsidP="00C05C9D">
      <w:pPr>
        <w:tabs>
          <w:tab w:val="left" w:pos="5670"/>
        </w:tabs>
        <w:ind w:left="709"/>
      </w:pPr>
      <w:r w:rsidRPr="003B7484">
        <w:t>- Lámparas de descarga</w:t>
      </w:r>
      <w:r w:rsidRPr="003B7484">
        <w:tab/>
        <w:t>ITC-BT 09 art.3</w:t>
      </w:r>
    </w:p>
    <w:p w14:paraId="38F28564" w14:textId="77777777" w:rsidR="00C05C9D" w:rsidRPr="003B7484" w:rsidRDefault="00C05C9D" w:rsidP="00C05C9D">
      <w:pPr>
        <w:tabs>
          <w:tab w:val="left" w:pos="5670"/>
        </w:tabs>
        <w:ind w:left="709"/>
      </w:pPr>
      <w:r w:rsidRPr="003B7484">
        <w:t>- Cables radiantes</w:t>
      </w:r>
      <w:r w:rsidRPr="003B7484">
        <w:tab/>
        <w:t>ITC-BT 46</w:t>
      </w:r>
    </w:p>
    <w:p w14:paraId="4AF4328E" w14:textId="77777777" w:rsidR="00C05C9D" w:rsidRPr="003B7484" w:rsidRDefault="00C05C9D" w:rsidP="00C05C9D">
      <w:pPr>
        <w:tabs>
          <w:tab w:val="left" w:pos="5670"/>
        </w:tabs>
        <w:ind w:left="709"/>
      </w:pPr>
      <w:r w:rsidRPr="003B7484">
        <w:t>- Cercas para ganado (pastor eléctrico)</w:t>
      </w:r>
      <w:r w:rsidRPr="003B7484">
        <w:tab/>
        <w:t>ITC-BT 39</w:t>
      </w:r>
    </w:p>
    <w:p w14:paraId="15445AA3" w14:textId="77777777" w:rsidR="00C05C9D" w:rsidRPr="003B7484" w:rsidRDefault="00C05C9D" w:rsidP="00C05C9D">
      <w:pPr>
        <w:tabs>
          <w:tab w:val="left" w:pos="5670"/>
        </w:tabs>
        <w:ind w:left="709"/>
      </w:pPr>
      <w:r w:rsidRPr="003B7484">
        <w:t>- Motores</w:t>
      </w:r>
      <w:r w:rsidRPr="003B7484">
        <w:tab/>
        <w:t>ITC-BT 47</w:t>
      </w:r>
    </w:p>
    <w:p w14:paraId="7A55EC03" w14:textId="77777777" w:rsidR="00C05C9D" w:rsidRPr="003B7484" w:rsidRDefault="00C05C9D" w:rsidP="00C05C9D">
      <w:pPr>
        <w:tabs>
          <w:tab w:val="left" w:pos="5670"/>
        </w:tabs>
        <w:ind w:left="709"/>
      </w:pPr>
      <w:r w:rsidRPr="003B7484">
        <w:t>- Etc.</w:t>
      </w:r>
    </w:p>
    <w:p w14:paraId="4D4C3643" w14:textId="77777777" w:rsidR="00C05C9D" w:rsidRPr="003B7484" w:rsidRDefault="00C05C9D" w:rsidP="00C05C9D">
      <w:r w:rsidRPr="003B7484">
        <w:t>Se irán viendo a lo largo de los siguientes temas.</w:t>
      </w:r>
    </w:p>
    <w:sectPr w:rsidR="00C05C9D" w:rsidRPr="003B7484" w:rsidSect="00C05C9D">
      <w:headerReference w:type="default" r:id="rId36"/>
      <w:footerReference w:type="even" r:id="rId37"/>
      <w:footerReference w:type="default" r:id="rId38"/>
      <w:headerReference w:type="first" r:id="rId39"/>
      <w:pgSz w:w="11880" w:h="16800"/>
      <w:pgMar w:top="1843" w:right="1418" w:bottom="1418" w:left="1814" w:header="737" w:footer="737" w:gutter="567"/>
      <w:pgBorders>
        <w:top w:val="single" w:sz="4" w:space="20" w:color="auto"/>
        <w:left w:val="single" w:sz="4" w:space="20" w:color="auto"/>
        <w:bottom w:val="single" w:sz="4" w:space="20" w:color="auto"/>
        <w:right w:val="single" w:sz="4" w:space="20" w:color="auto"/>
      </w:pgBorders>
      <w:pgNumType w:start="22"/>
      <w:cols w:space="737"/>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B63FCD" w14:textId="77777777" w:rsidR="00834356" w:rsidRDefault="00834356">
      <w:pPr>
        <w:spacing w:before="0"/>
      </w:pPr>
      <w:r>
        <w:separator/>
      </w:r>
    </w:p>
  </w:endnote>
  <w:endnote w:type="continuationSeparator" w:id="0">
    <w:p w14:paraId="040A3800" w14:textId="77777777" w:rsidR="00834356" w:rsidRDefault="0083435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panose1 w:val="02000403000000020004"/>
    <w:charset w:val="00"/>
    <w:family w:val="auto"/>
    <w:pitch w:val="variable"/>
    <w:sig w:usb0="A00002FF" w:usb1="5000205B" w:usb2="00000002" w:usb3="00000000" w:csb0="00000007"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A00002FF" w:usb1="7800205A" w:usb2="14600000" w:usb3="00000000" w:csb0="00000193" w:csb1="00000000"/>
  </w:font>
  <w:font w:name="Arial Narrow">
    <w:panose1 w:val="020B0506020202030204"/>
    <w:charset w:val="00"/>
    <w:family w:val="auto"/>
    <w:pitch w:val="variable"/>
    <w:sig w:usb0="00000287" w:usb1="000008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Geneva">
    <w:panose1 w:val="020B0503030404040204"/>
    <w:charset w:val="00"/>
    <w:family w:val="auto"/>
    <w:pitch w:val="variable"/>
    <w:sig w:usb0="E00002FF" w:usb1="5200205F" w:usb2="00A0C000" w:usb3="00000000" w:csb0="0000019F" w:csb1="00000000"/>
  </w:font>
  <w:font w:name="Lucida Grande">
    <w:panose1 w:val="020B0600040502020204"/>
    <w:charset w:val="00"/>
    <w:family w:val="auto"/>
    <w:pitch w:val="variable"/>
    <w:sig w:usb0="E1000AEF" w:usb1="5000A1FF" w:usb2="00000000" w:usb3="00000000" w:csb0="000001BF"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charset w:val="00"/>
    <w:family w:val="auto"/>
    <w:pitch w:val="variable"/>
    <w:sig w:usb0="03000000"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Roman">
    <w:altName w:val="Times"/>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45576" w14:textId="77777777" w:rsidR="00834356" w:rsidRDefault="00834356" w:rsidP="00C05C9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6F698F" w14:textId="77777777" w:rsidR="00834356" w:rsidRDefault="00834356" w:rsidP="00C05C9D">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75935" w14:textId="748BE391" w:rsidR="00834356" w:rsidRDefault="00834356" w:rsidP="00C05C9D">
    <w:pPr>
      <w:pStyle w:val="Piedepgina"/>
      <w:tabs>
        <w:tab w:val="clear" w:pos="8306"/>
        <w:tab w:val="right" w:pos="8505"/>
      </w:tabs>
      <w:ind w:left="-426"/>
    </w:pPr>
    <w:r w:rsidRPr="00972F94">
      <w:rPr>
        <w:rStyle w:val="Nmerodepgina"/>
        <w:sz w:val="18"/>
      </w:rPr>
      <w:t>© NRM 2012-20</w:t>
    </w:r>
    <w:r>
      <w:rPr>
        <w:rStyle w:val="Nmerodepgina"/>
        <w:sz w:val="18"/>
      </w:rPr>
      <w:t>22</w:t>
    </w:r>
    <w:r>
      <w:rPr>
        <w:rStyle w:val="Nmerodepgina"/>
      </w:rPr>
      <w:tab/>
    </w:r>
    <w:r>
      <w:rPr>
        <w:rStyle w:val="Nmerodepgina"/>
      </w:rPr>
      <w:tab/>
    </w:r>
    <w:r>
      <w:rPr>
        <w:rStyle w:val="Nmerodepgina"/>
      </w:rPr>
      <w:fldChar w:fldCharType="begin"/>
    </w:r>
    <w:r>
      <w:rPr>
        <w:rStyle w:val="Nmerodepgina"/>
      </w:rPr>
      <w:instrText xml:space="preserve">PAGE  </w:instrText>
    </w:r>
    <w:r>
      <w:rPr>
        <w:rStyle w:val="Nmerodepgina"/>
      </w:rPr>
      <w:fldChar w:fldCharType="separate"/>
    </w:r>
    <w:r w:rsidR="00E46589">
      <w:rPr>
        <w:rStyle w:val="Nmerodepgina"/>
        <w:noProof/>
      </w:rPr>
      <w:t>31</w:t>
    </w:r>
    <w:r>
      <w:rPr>
        <w:rStyle w:val="Nmerodepgina"/>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882AF4" w14:textId="77777777" w:rsidR="00834356" w:rsidRDefault="00834356">
      <w:pPr>
        <w:spacing w:before="0"/>
      </w:pPr>
      <w:r>
        <w:separator/>
      </w:r>
    </w:p>
  </w:footnote>
  <w:footnote w:type="continuationSeparator" w:id="0">
    <w:p w14:paraId="6B3FFCCD" w14:textId="77777777" w:rsidR="00834356" w:rsidRDefault="00834356">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93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29"/>
      <w:gridCol w:w="2941"/>
      <w:gridCol w:w="4961"/>
    </w:tblGrid>
    <w:tr w:rsidR="00834356" w14:paraId="2B0C09AB" w14:textId="77777777">
      <w:tc>
        <w:tcPr>
          <w:tcW w:w="1029" w:type="dxa"/>
          <w:vAlign w:val="center"/>
        </w:tcPr>
        <w:p w14:paraId="4EE30D8E" w14:textId="77777777" w:rsidR="00834356" w:rsidRDefault="00834356" w:rsidP="00C05C9D">
          <w:pPr>
            <w:pStyle w:val="Encabezado"/>
            <w:spacing w:before="0" w:line="240" w:lineRule="auto"/>
            <w:jc w:val="center"/>
          </w:pPr>
          <w:r>
            <w:rPr>
              <w:noProof/>
            </w:rPr>
            <w:drawing>
              <wp:inline distT="0" distB="0" distL="0" distR="0" wp14:anchorId="0382D9FB" wp14:editId="4DF12356">
                <wp:extent cx="516255" cy="5162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16255"/>
                        </a:xfrm>
                        <a:prstGeom prst="rect">
                          <a:avLst/>
                        </a:prstGeom>
                        <a:noFill/>
                        <a:ln>
                          <a:noFill/>
                        </a:ln>
                      </pic:spPr>
                    </pic:pic>
                  </a:graphicData>
                </a:graphic>
              </wp:inline>
            </w:drawing>
          </w:r>
        </w:p>
        <w:p w14:paraId="778BDD0B" w14:textId="77777777" w:rsidR="00834356" w:rsidRDefault="00834356" w:rsidP="00C05C9D">
          <w:pPr>
            <w:pStyle w:val="Encabezado"/>
            <w:spacing w:before="0" w:line="240" w:lineRule="auto"/>
            <w:jc w:val="center"/>
          </w:pPr>
        </w:p>
      </w:tc>
      <w:tc>
        <w:tcPr>
          <w:tcW w:w="2941" w:type="dxa"/>
          <w:vAlign w:val="center"/>
        </w:tcPr>
        <w:p w14:paraId="4BABF4BE" w14:textId="77777777" w:rsidR="00834356" w:rsidRDefault="00834356" w:rsidP="00C05C9D">
          <w:pPr>
            <w:pStyle w:val="Encabezado"/>
            <w:spacing w:before="0" w:line="240" w:lineRule="auto"/>
            <w:jc w:val="center"/>
            <w:rPr>
              <w:rFonts w:ascii="Courier" w:hAnsi="Courier"/>
              <w:sz w:val="16"/>
            </w:rPr>
          </w:pPr>
          <w:r>
            <w:rPr>
              <w:rFonts w:ascii="Courier" w:hAnsi="Courier"/>
              <w:sz w:val="16"/>
            </w:rPr>
            <w:t>UNIVERSIDAD DE SALAMANCA</w:t>
          </w:r>
        </w:p>
        <w:p w14:paraId="1ED8FFB5" w14:textId="77777777" w:rsidR="00834356" w:rsidRDefault="00834356" w:rsidP="00C05C9D">
          <w:pPr>
            <w:pStyle w:val="Encabezado"/>
            <w:spacing w:before="0" w:line="240" w:lineRule="auto"/>
            <w:jc w:val="center"/>
          </w:pPr>
          <w:r>
            <w:rPr>
              <w:rFonts w:ascii="Courier" w:hAnsi="Courier"/>
              <w:b/>
              <w:sz w:val="16"/>
            </w:rPr>
            <w:t>ESCUELA TÉCNICA SUPERIOR DE INGENIERÍA INDUSTRIAL</w:t>
          </w:r>
        </w:p>
      </w:tc>
      <w:tc>
        <w:tcPr>
          <w:tcW w:w="4961" w:type="dxa"/>
          <w:vAlign w:val="center"/>
        </w:tcPr>
        <w:p w14:paraId="05D67EB3" w14:textId="77777777" w:rsidR="00834356" w:rsidRDefault="00834356" w:rsidP="00C05C9D">
          <w:pPr>
            <w:pStyle w:val="Encabezado"/>
            <w:spacing w:before="0" w:line="240" w:lineRule="auto"/>
            <w:ind w:left="176" w:right="58"/>
            <w:jc w:val="right"/>
            <w:rPr>
              <w:rFonts w:ascii="Courier" w:hAnsi="Courier"/>
              <w:sz w:val="16"/>
            </w:rPr>
          </w:pPr>
          <w:r>
            <w:rPr>
              <w:rFonts w:ascii="Courier" w:hAnsi="Courier"/>
              <w:sz w:val="16"/>
            </w:rPr>
            <w:t>Avda. Fernando Ballesteros,2</w:t>
          </w:r>
        </w:p>
        <w:p w14:paraId="10C7587F" w14:textId="77777777" w:rsidR="00834356" w:rsidRDefault="00834356" w:rsidP="00C05C9D">
          <w:pPr>
            <w:pStyle w:val="Encabezado"/>
            <w:spacing w:before="0" w:line="240" w:lineRule="auto"/>
            <w:ind w:left="176" w:right="58"/>
            <w:jc w:val="right"/>
            <w:rPr>
              <w:rFonts w:ascii="Courier" w:hAnsi="Courier"/>
              <w:sz w:val="16"/>
            </w:rPr>
          </w:pPr>
          <w:r>
            <w:rPr>
              <w:rFonts w:ascii="Courier" w:hAnsi="Courier"/>
              <w:sz w:val="16"/>
            </w:rPr>
            <w:t>37700 BÉJAR</w:t>
          </w:r>
        </w:p>
        <w:p w14:paraId="4A9AADD8" w14:textId="77777777" w:rsidR="00834356" w:rsidRPr="00AB0A80" w:rsidRDefault="00834356" w:rsidP="00C05C9D">
          <w:pPr>
            <w:pStyle w:val="Encabezado"/>
            <w:spacing w:before="0" w:line="240" w:lineRule="auto"/>
            <w:ind w:left="176" w:right="58"/>
            <w:jc w:val="right"/>
            <w:rPr>
              <w:b/>
            </w:rPr>
          </w:pPr>
          <w:r w:rsidRPr="00AB0A80">
            <w:rPr>
              <w:rFonts w:ascii="Courier" w:hAnsi="Courier"/>
              <w:b/>
              <w:sz w:val="16"/>
            </w:rPr>
            <w:t>ÁREA DE INGENIERÍA ELÉCTRICA</w:t>
          </w:r>
        </w:p>
      </w:tc>
    </w:tr>
  </w:tbl>
  <w:p w14:paraId="07DBA291" w14:textId="77777777" w:rsidR="00834356" w:rsidRPr="00972F94" w:rsidRDefault="00834356" w:rsidP="00C05C9D">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93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836"/>
      <w:gridCol w:w="2268"/>
      <w:gridCol w:w="3827"/>
    </w:tblGrid>
    <w:tr w:rsidR="00834356" w14:paraId="20011205" w14:textId="77777777">
      <w:tc>
        <w:tcPr>
          <w:tcW w:w="2836" w:type="dxa"/>
        </w:tcPr>
        <w:p w14:paraId="0FAFBFBC" w14:textId="77777777" w:rsidR="00834356" w:rsidRDefault="00834356" w:rsidP="00C05C9D">
          <w:pPr>
            <w:pStyle w:val="Encabezado"/>
            <w:spacing w:before="0" w:line="240" w:lineRule="auto"/>
            <w:jc w:val="center"/>
          </w:pPr>
          <w:r>
            <w:rPr>
              <w:noProof/>
            </w:rPr>
            <w:drawing>
              <wp:inline distT="0" distB="0" distL="0" distR="0" wp14:anchorId="36E57A14" wp14:editId="1C8910F5">
                <wp:extent cx="516255" cy="5162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16255"/>
                        </a:xfrm>
                        <a:prstGeom prst="rect">
                          <a:avLst/>
                        </a:prstGeom>
                        <a:noFill/>
                        <a:ln>
                          <a:noFill/>
                        </a:ln>
                      </pic:spPr>
                    </pic:pic>
                  </a:graphicData>
                </a:graphic>
              </wp:inline>
            </w:drawing>
          </w:r>
        </w:p>
        <w:p w14:paraId="645B37C2" w14:textId="77777777" w:rsidR="00834356" w:rsidRDefault="00834356" w:rsidP="00C05C9D">
          <w:pPr>
            <w:pStyle w:val="Encabezado"/>
            <w:spacing w:before="0" w:line="240" w:lineRule="auto"/>
            <w:jc w:val="center"/>
            <w:rPr>
              <w:rFonts w:ascii="Courier" w:hAnsi="Courier"/>
              <w:sz w:val="16"/>
            </w:rPr>
          </w:pPr>
          <w:r>
            <w:rPr>
              <w:rFonts w:ascii="Courier" w:hAnsi="Courier"/>
              <w:sz w:val="16"/>
            </w:rPr>
            <w:t>UNIVERSIDAD DE SALAMANCA</w:t>
          </w:r>
        </w:p>
        <w:p w14:paraId="1A76F61E" w14:textId="77777777" w:rsidR="00834356" w:rsidRDefault="00834356" w:rsidP="00C05C9D">
          <w:pPr>
            <w:pStyle w:val="Encabezado"/>
            <w:spacing w:before="0" w:line="240" w:lineRule="auto"/>
            <w:jc w:val="center"/>
            <w:rPr>
              <w:rFonts w:ascii="Courier" w:hAnsi="Courier"/>
              <w:b/>
              <w:sz w:val="16"/>
            </w:rPr>
          </w:pPr>
          <w:r>
            <w:rPr>
              <w:rFonts w:ascii="Courier" w:hAnsi="Courier"/>
              <w:b/>
              <w:sz w:val="16"/>
            </w:rPr>
            <w:t>ESCUELA TÉCNICA SUPERIOR DE</w:t>
          </w:r>
        </w:p>
        <w:p w14:paraId="60CC9697" w14:textId="77777777" w:rsidR="00834356" w:rsidRDefault="00834356" w:rsidP="00C05C9D">
          <w:pPr>
            <w:pStyle w:val="Encabezado"/>
            <w:spacing w:before="0" w:line="240" w:lineRule="auto"/>
            <w:jc w:val="center"/>
          </w:pPr>
          <w:r>
            <w:rPr>
              <w:rFonts w:ascii="Courier" w:hAnsi="Courier"/>
              <w:b/>
              <w:sz w:val="16"/>
            </w:rPr>
            <w:t>INGENIERÍA INDUSTRIAL</w:t>
          </w:r>
        </w:p>
      </w:tc>
      <w:tc>
        <w:tcPr>
          <w:tcW w:w="2268" w:type="dxa"/>
        </w:tcPr>
        <w:p w14:paraId="23BA19D1" w14:textId="77777777" w:rsidR="00834356" w:rsidRDefault="00834356" w:rsidP="00C05C9D">
          <w:pPr>
            <w:pStyle w:val="Encabezado"/>
            <w:spacing w:before="0" w:line="240" w:lineRule="auto"/>
            <w:ind w:right="-1085"/>
          </w:pPr>
        </w:p>
      </w:tc>
      <w:tc>
        <w:tcPr>
          <w:tcW w:w="3827" w:type="dxa"/>
          <w:vAlign w:val="bottom"/>
        </w:tcPr>
        <w:p w14:paraId="357D1D2D" w14:textId="77777777" w:rsidR="00834356" w:rsidRDefault="00834356" w:rsidP="00C05C9D">
          <w:pPr>
            <w:pStyle w:val="Encabezado"/>
            <w:spacing w:before="0" w:line="240" w:lineRule="auto"/>
            <w:ind w:left="176" w:right="58"/>
            <w:jc w:val="right"/>
            <w:rPr>
              <w:rFonts w:ascii="Courier" w:hAnsi="Courier"/>
              <w:sz w:val="16"/>
            </w:rPr>
          </w:pPr>
          <w:r>
            <w:rPr>
              <w:rFonts w:ascii="Courier" w:hAnsi="Courier"/>
              <w:sz w:val="16"/>
            </w:rPr>
            <w:t>Avda. Fernando Ballesteros,2</w:t>
          </w:r>
        </w:p>
        <w:p w14:paraId="1BD50E4F" w14:textId="77777777" w:rsidR="00834356" w:rsidRDefault="00834356" w:rsidP="00C05C9D">
          <w:pPr>
            <w:pStyle w:val="Encabezado"/>
            <w:spacing w:before="0" w:line="240" w:lineRule="auto"/>
            <w:ind w:left="176" w:right="58"/>
            <w:jc w:val="right"/>
            <w:rPr>
              <w:rFonts w:ascii="Courier" w:hAnsi="Courier"/>
              <w:sz w:val="16"/>
            </w:rPr>
          </w:pPr>
          <w:r>
            <w:rPr>
              <w:rFonts w:ascii="Courier" w:hAnsi="Courier"/>
              <w:sz w:val="16"/>
            </w:rPr>
            <w:t>37700 BÉJAR</w:t>
          </w:r>
        </w:p>
        <w:p w14:paraId="5792A0B3" w14:textId="77777777" w:rsidR="00834356" w:rsidRDefault="00834356" w:rsidP="00C05C9D">
          <w:pPr>
            <w:pStyle w:val="Encabezado"/>
            <w:spacing w:before="0" w:line="240" w:lineRule="auto"/>
            <w:ind w:left="176" w:right="58"/>
            <w:jc w:val="right"/>
            <w:rPr>
              <w:rFonts w:ascii="Courier" w:hAnsi="Courier"/>
              <w:sz w:val="16"/>
            </w:rPr>
          </w:pPr>
          <w:r>
            <w:rPr>
              <w:rFonts w:ascii="Courier" w:hAnsi="Courier"/>
              <w:sz w:val="16"/>
            </w:rPr>
            <w:t>Fax 923 40 81 27                      Telf. 923 40 80 80</w:t>
          </w:r>
        </w:p>
        <w:p w14:paraId="2F2BCF1E" w14:textId="77777777" w:rsidR="00834356" w:rsidRDefault="00834356" w:rsidP="00C05C9D">
          <w:pPr>
            <w:pStyle w:val="Encabezado"/>
            <w:spacing w:before="0" w:line="240" w:lineRule="auto"/>
            <w:ind w:left="176" w:right="58"/>
            <w:jc w:val="right"/>
            <w:rPr>
              <w:rFonts w:ascii="Courier" w:hAnsi="Courier"/>
              <w:sz w:val="16"/>
            </w:rPr>
          </w:pPr>
        </w:p>
        <w:p w14:paraId="3EB56E71" w14:textId="77777777" w:rsidR="00834356" w:rsidRDefault="00834356" w:rsidP="00C05C9D">
          <w:pPr>
            <w:pStyle w:val="Encabezado"/>
            <w:spacing w:before="0" w:line="240" w:lineRule="auto"/>
            <w:ind w:left="176" w:right="58"/>
            <w:jc w:val="right"/>
            <w:rPr>
              <w:rFonts w:ascii="Courier" w:hAnsi="Courier"/>
              <w:sz w:val="16"/>
            </w:rPr>
          </w:pPr>
          <w:r>
            <w:rPr>
              <w:rFonts w:ascii="Courier" w:hAnsi="Courier"/>
              <w:sz w:val="16"/>
            </w:rPr>
            <w:t xml:space="preserve"> </w:t>
          </w:r>
        </w:p>
        <w:p w14:paraId="515AB5E6" w14:textId="77777777" w:rsidR="00834356" w:rsidRPr="00AB0A80" w:rsidRDefault="00834356" w:rsidP="00C05C9D">
          <w:pPr>
            <w:pStyle w:val="Encabezado"/>
            <w:spacing w:before="0" w:line="240" w:lineRule="auto"/>
            <w:ind w:left="176" w:right="58"/>
            <w:jc w:val="right"/>
            <w:rPr>
              <w:b/>
            </w:rPr>
          </w:pPr>
          <w:r w:rsidRPr="00AB0A80">
            <w:rPr>
              <w:rFonts w:ascii="Courier" w:hAnsi="Courier"/>
              <w:b/>
              <w:sz w:val="16"/>
            </w:rPr>
            <w:t>ÁREA DE INGENIERÍA ELÉCTRICA</w:t>
          </w:r>
        </w:p>
      </w:tc>
    </w:tr>
  </w:tbl>
  <w:p w14:paraId="641D1F02" w14:textId="77777777" w:rsidR="00834356" w:rsidRDefault="00834356">
    <w:pPr>
      <w:pStyle w:val="Encabezado"/>
    </w:pPr>
  </w:p>
  <w:p w14:paraId="4C3B7DB9" w14:textId="77777777" w:rsidR="00834356" w:rsidRDefault="00834356">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8C3C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BC8ACDE"/>
    <w:lvl w:ilvl="0">
      <w:start w:val="1"/>
      <w:numFmt w:val="decimal"/>
      <w:lvlText w:val="%1."/>
      <w:lvlJc w:val="left"/>
      <w:pPr>
        <w:tabs>
          <w:tab w:val="num" w:pos="1492"/>
        </w:tabs>
        <w:ind w:left="1492" w:hanging="360"/>
      </w:pPr>
    </w:lvl>
  </w:abstractNum>
  <w:abstractNum w:abstractNumId="2">
    <w:nsid w:val="FFFFFF7D"/>
    <w:multiLevelType w:val="singleLevel"/>
    <w:tmpl w:val="A03ED6F0"/>
    <w:lvl w:ilvl="0">
      <w:start w:val="1"/>
      <w:numFmt w:val="decimal"/>
      <w:lvlText w:val="%1."/>
      <w:lvlJc w:val="left"/>
      <w:pPr>
        <w:tabs>
          <w:tab w:val="num" w:pos="1209"/>
        </w:tabs>
        <w:ind w:left="1209" w:hanging="360"/>
      </w:pPr>
    </w:lvl>
  </w:abstractNum>
  <w:abstractNum w:abstractNumId="3">
    <w:nsid w:val="FFFFFF7E"/>
    <w:multiLevelType w:val="singleLevel"/>
    <w:tmpl w:val="8E6A18AA"/>
    <w:lvl w:ilvl="0">
      <w:start w:val="1"/>
      <w:numFmt w:val="decimal"/>
      <w:lvlText w:val="%1."/>
      <w:lvlJc w:val="left"/>
      <w:pPr>
        <w:tabs>
          <w:tab w:val="num" w:pos="926"/>
        </w:tabs>
        <w:ind w:left="926" w:hanging="360"/>
      </w:pPr>
    </w:lvl>
  </w:abstractNum>
  <w:abstractNum w:abstractNumId="4">
    <w:nsid w:val="FFFFFF7F"/>
    <w:multiLevelType w:val="singleLevel"/>
    <w:tmpl w:val="0AA2370E"/>
    <w:lvl w:ilvl="0">
      <w:start w:val="1"/>
      <w:numFmt w:val="decimal"/>
      <w:lvlText w:val="%1."/>
      <w:lvlJc w:val="left"/>
      <w:pPr>
        <w:tabs>
          <w:tab w:val="num" w:pos="643"/>
        </w:tabs>
        <w:ind w:left="643" w:hanging="360"/>
      </w:pPr>
    </w:lvl>
  </w:abstractNum>
  <w:abstractNum w:abstractNumId="5">
    <w:nsid w:val="FFFFFF80"/>
    <w:multiLevelType w:val="singleLevel"/>
    <w:tmpl w:val="4EBE4A2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AE05CB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B3C3B3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682EF7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C84736A"/>
    <w:lvl w:ilvl="0">
      <w:start w:val="1"/>
      <w:numFmt w:val="decimal"/>
      <w:lvlText w:val="%1."/>
      <w:lvlJc w:val="left"/>
      <w:pPr>
        <w:tabs>
          <w:tab w:val="num" w:pos="360"/>
        </w:tabs>
        <w:ind w:left="360" w:hanging="360"/>
      </w:pPr>
    </w:lvl>
  </w:abstractNum>
  <w:abstractNum w:abstractNumId="10">
    <w:nsid w:val="FFFFFF89"/>
    <w:multiLevelType w:val="singleLevel"/>
    <w:tmpl w:val="6DB2E31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B41056D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130C767E"/>
    <w:multiLevelType w:val="multilevel"/>
    <w:tmpl w:val="E23E0534"/>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3">
    <w:nsid w:val="513B1132"/>
    <w:multiLevelType w:val="hybridMultilevel"/>
    <w:tmpl w:val="BED21B96"/>
    <w:lvl w:ilvl="0" w:tplc="FFFFFFFF">
      <w:numFmt w:val="bullet"/>
      <w:lvlText w:val="-"/>
      <w:lvlJc w:val="left"/>
      <w:pPr>
        <w:tabs>
          <w:tab w:val="num" w:pos="720"/>
        </w:tabs>
        <w:ind w:left="720" w:hanging="360"/>
      </w:pPr>
      <w:rPr>
        <w:rFonts w:ascii="Helvetica Neue Light" w:eastAsia="Times" w:hAnsi="Helvetica Neue Light"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4">
    <w:nsid w:val="7F09530B"/>
    <w:multiLevelType w:val="hybridMultilevel"/>
    <w:tmpl w:val="04BABE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3"/>
  </w:num>
  <w:num w:numId="4">
    <w:abstractNumId w:val="9"/>
  </w:num>
  <w:num w:numId="5">
    <w:abstractNumId w:val="4"/>
  </w:num>
  <w:num w:numId="6">
    <w:abstractNumId w:val="3"/>
  </w:num>
  <w:num w:numId="7">
    <w:abstractNumId w:val="2"/>
  </w:num>
  <w:num w:numId="8">
    <w:abstractNumId w:val="1"/>
  </w:num>
  <w:num w:numId="9">
    <w:abstractNumId w:val="10"/>
  </w:num>
  <w:num w:numId="10">
    <w:abstractNumId w:val="8"/>
  </w:num>
  <w:num w:numId="11">
    <w:abstractNumId w:val="7"/>
  </w:num>
  <w:num w:numId="12">
    <w:abstractNumId w:val="6"/>
  </w:num>
  <w:num w:numId="13">
    <w:abstractNumId w:val="5"/>
  </w:num>
  <w:num w:numId="14">
    <w:abstractNumId w:val="0"/>
  </w:num>
  <w:num w:numId="1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savePreviewPicture/>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B5A"/>
    <w:rsid w:val="00151E81"/>
    <w:rsid w:val="001D7B5A"/>
    <w:rsid w:val="001D7CBB"/>
    <w:rsid w:val="004E5E03"/>
    <w:rsid w:val="004F7925"/>
    <w:rsid w:val="00631568"/>
    <w:rsid w:val="006869CA"/>
    <w:rsid w:val="007238D7"/>
    <w:rsid w:val="00834356"/>
    <w:rsid w:val="00836E5C"/>
    <w:rsid w:val="00BE604A"/>
    <w:rsid w:val="00C05C9D"/>
    <w:rsid w:val="00E4658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1"/>
    </o:shapelayout>
  </w:shapeDefaults>
  <w:decimalSymbol w:val=","/>
  <w:listSeparator w:val=";"/>
  <w14:docId w14:val="05FB37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E80"/>
    <w:pPr>
      <w:widowControl w:val="0"/>
      <w:spacing w:before="120"/>
      <w:jc w:val="both"/>
    </w:pPr>
    <w:rPr>
      <w:rFonts w:ascii="Helvetica Neue Light" w:hAnsi="Helvetica Neue Light"/>
      <w:sz w:val="22"/>
      <w:lang w:val="es-ES_tradnl"/>
    </w:rPr>
  </w:style>
  <w:style w:type="paragraph" w:styleId="Ttulo1">
    <w:name w:val="heading 1"/>
    <w:aliases w:val="MAY"/>
    <w:basedOn w:val="Normal"/>
    <w:next w:val="Normal"/>
    <w:qFormat/>
    <w:pPr>
      <w:keepNext/>
      <w:keepLines/>
      <w:widowControl/>
      <w:numPr>
        <w:numId w:val="2"/>
      </w:numPr>
      <w:spacing w:before="720"/>
      <w:outlineLvl w:val="0"/>
    </w:pPr>
    <w:rPr>
      <w:rFonts w:eastAsia="Times New Roman"/>
      <w:b/>
      <w:smallCaps/>
      <w:u w:val="single"/>
      <w:lang w:val="es-ES"/>
    </w:rPr>
  </w:style>
  <w:style w:type="paragraph" w:styleId="Ttulo2">
    <w:name w:val="heading 2"/>
    <w:basedOn w:val="Ttulo1"/>
    <w:next w:val="Normal"/>
    <w:qFormat/>
    <w:rsid w:val="00BD6A5D"/>
    <w:pPr>
      <w:numPr>
        <w:ilvl w:val="1"/>
      </w:numPr>
      <w:spacing w:before="480"/>
      <w:outlineLvl w:val="1"/>
    </w:pPr>
    <w:rPr>
      <w:smallCaps w:val="0"/>
      <w:u w:val="none"/>
    </w:rPr>
  </w:style>
  <w:style w:type="paragraph" w:styleId="Ttulo3">
    <w:name w:val="heading 3"/>
    <w:basedOn w:val="Ttulo1"/>
    <w:next w:val="Normal"/>
    <w:qFormat/>
    <w:rsid w:val="00580CEB"/>
    <w:pPr>
      <w:numPr>
        <w:ilvl w:val="2"/>
      </w:numPr>
      <w:spacing w:before="400"/>
      <w:outlineLvl w:val="2"/>
    </w:pPr>
    <w:rPr>
      <w:b w:val="0"/>
      <w:smallCaps w:val="0"/>
    </w:rPr>
  </w:style>
  <w:style w:type="paragraph" w:styleId="Ttulo4">
    <w:name w:val="heading 4"/>
    <w:basedOn w:val="Normal"/>
    <w:next w:val="Normal"/>
    <w:qFormat/>
    <w:rsid w:val="00414D85"/>
    <w:pPr>
      <w:widowControl/>
      <w:numPr>
        <w:ilvl w:val="3"/>
        <w:numId w:val="2"/>
      </w:numPr>
      <w:spacing w:before="240"/>
      <w:outlineLvl w:val="3"/>
    </w:pPr>
    <w:rPr>
      <w:rFonts w:eastAsia="Times New Roman"/>
      <w:i/>
      <w:lang w:val="es-ES"/>
    </w:rPr>
  </w:style>
  <w:style w:type="paragraph" w:styleId="Ttulo5">
    <w:name w:val="heading 5"/>
    <w:basedOn w:val="Normal"/>
    <w:next w:val="Normal"/>
    <w:qFormat/>
    <w:pPr>
      <w:widowControl/>
      <w:numPr>
        <w:ilvl w:val="4"/>
        <w:numId w:val="2"/>
      </w:numPr>
      <w:spacing w:before="240"/>
      <w:outlineLvl w:val="4"/>
    </w:pPr>
    <w:rPr>
      <w:rFonts w:ascii="Arial" w:eastAsia="Times New Roman" w:hAnsi="Arial"/>
      <w:sz w:val="20"/>
      <w:u w:val="single"/>
      <w:lang w:val="es-ES"/>
    </w:rPr>
  </w:style>
  <w:style w:type="paragraph" w:styleId="Ttulo6">
    <w:name w:val="heading 6"/>
    <w:basedOn w:val="Normal"/>
    <w:next w:val="Normal"/>
    <w:qFormat/>
    <w:pPr>
      <w:widowControl/>
      <w:numPr>
        <w:ilvl w:val="5"/>
        <w:numId w:val="2"/>
      </w:numPr>
      <w:spacing w:before="240" w:after="60"/>
      <w:outlineLvl w:val="5"/>
    </w:pPr>
    <w:rPr>
      <w:rFonts w:ascii="Times" w:eastAsia="Times New Roman" w:hAnsi="Times"/>
      <w:i/>
      <w:sz w:val="20"/>
      <w:lang w:val="es-ES"/>
    </w:rPr>
  </w:style>
  <w:style w:type="paragraph" w:styleId="Ttulo7">
    <w:name w:val="heading 7"/>
    <w:basedOn w:val="Normal"/>
    <w:next w:val="Normal"/>
    <w:qFormat/>
    <w:pPr>
      <w:widowControl/>
      <w:numPr>
        <w:ilvl w:val="6"/>
        <w:numId w:val="2"/>
      </w:numPr>
      <w:spacing w:before="240" w:after="60"/>
      <w:outlineLvl w:val="6"/>
    </w:pPr>
    <w:rPr>
      <w:rFonts w:ascii="Helvetica" w:eastAsia="Times New Roman" w:hAnsi="Helvetica"/>
      <w:sz w:val="20"/>
      <w:lang w:val="es-ES"/>
    </w:rPr>
  </w:style>
  <w:style w:type="paragraph" w:styleId="Ttulo8">
    <w:name w:val="heading 8"/>
    <w:basedOn w:val="Normal"/>
    <w:next w:val="Normal"/>
    <w:qFormat/>
    <w:pPr>
      <w:widowControl/>
      <w:numPr>
        <w:ilvl w:val="7"/>
        <w:numId w:val="2"/>
      </w:numPr>
      <w:spacing w:before="240" w:after="60"/>
      <w:outlineLvl w:val="7"/>
    </w:pPr>
    <w:rPr>
      <w:rFonts w:ascii="Helvetica" w:eastAsia="Times New Roman" w:hAnsi="Helvetica"/>
      <w:i/>
      <w:sz w:val="20"/>
      <w:lang w:val="es-ES"/>
    </w:rPr>
  </w:style>
  <w:style w:type="paragraph" w:styleId="Ttulo9">
    <w:name w:val="heading 9"/>
    <w:basedOn w:val="Normal"/>
    <w:next w:val="Normal"/>
    <w:qFormat/>
    <w:pPr>
      <w:widowControl/>
      <w:numPr>
        <w:ilvl w:val="8"/>
        <w:numId w:val="2"/>
      </w:numPr>
      <w:spacing w:before="240" w:after="60"/>
      <w:outlineLvl w:val="8"/>
    </w:pPr>
    <w:rPr>
      <w:rFonts w:ascii="Helvetica" w:eastAsia="Times New Roman" w:hAnsi="Helvetica"/>
      <w:b/>
      <w:i/>
      <w:sz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widowControl/>
      <w:tabs>
        <w:tab w:val="right" w:pos="8860"/>
      </w:tabs>
      <w:spacing w:before="60" w:line="360" w:lineRule="atLeast"/>
    </w:pPr>
    <w:rPr>
      <w:rFonts w:ascii="Palatino" w:eastAsia="Times New Roman" w:hAnsi="Palatino"/>
      <w:sz w:val="20"/>
      <w:lang w:val="es-ES"/>
    </w:rPr>
  </w:style>
  <w:style w:type="paragraph" w:styleId="TDC1">
    <w:name w:val="toc 1"/>
    <w:basedOn w:val="Normal"/>
    <w:next w:val="Normal"/>
    <w:autoRedefine/>
    <w:uiPriority w:val="39"/>
    <w:rsid w:val="00705032"/>
    <w:pPr>
      <w:widowControl/>
      <w:tabs>
        <w:tab w:val="left" w:pos="567"/>
        <w:tab w:val="right" w:leader="dot" w:pos="8222"/>
      </w:tabs>
      <w:ind w:left="567" w:right="709" w:hanging="567"/>
      <w:jc w:val="left"/>
    </w:pPr>
    <w:rPr>
      <w:rFonts w:eastAsia="Times New Roman"/>
      <w:b/>
      <w:noProof/>
    </w:rPr>
  </w:style>
  <w:style w:type="paragraph" w:styleId="TDC2">
    <w:name w:val="toc 2"/>
    <w:basedOn w:val="Normal"/>
    <w:next w:val="Normal"/>
    <w:autoRedefine/>
    <w:uiPriority w:val="39"/>
    <w:rsid w:val="00D71E47"/>
    <w:pPr>
      <w:widowControl/>
      <w:tabs>
        <w:tab w:val="left" w:pos="784"/>
        <w:tab w:val="right" w:leader="dot" w:pos="8222"/>
      </w:tabs>
      <w:spacing w:before="60"/>
      <w:ind w:left="850" w:right="1134" w:hanging="612"/>
    </w:pPr>
    <w:rPr>
      <w:rFonts w:eastAsia="Times New Roman"/>
      <w:noProof/>
    </w:rPr>
  </w:style>
  <w:style w:type="paragraph" w:styleId="TDC3">
    <w:name w:val="toc 3"/>
    <w:basedOn w:val="Normal"/>
    <w:next w:val="Normal"/>
    <w:autoRedefine/>
    <w:uiPriority w:val="39"/>
    <w:rsid w:val="000E250A"/>
    <w:pPr>
      <w:widowControl/>
      <w:tabs>
        <w:tab w:val="left" w:pos="1418"/>
        <w:tab w:val="right" w:leader="dot" w:pos="8222"/>
      </w:tabs>
      <w:spacing w:before="0"/>
      <w:ind w:left="1418" w:right="710" w:hanging="938"/>
    </w:pPr>
    <w:rPr>
      <w:rFonts w:eastAsia="Times New Roman"/>
      <w:noProof/>
    </w:rPr>
  </w:style>
  <w:style w:type="paragraph" w:styleId="TDC4">
    <w:name w:val="toc 4"/>
    <w:basedOn w:val="Normal"/>
    <w:next w:val="Normal"/>
    <w:autoRedefine/>
    <w:semiHidden/>
    <w:rsid w:val="000E250A"/>
    <w:pPr>
      <w:widowControl/>
      <w:tabs>
        <w:tab w:val="right" w:leader="dot" w:pos="8222"/>
      </w:tabs>
      <w:spacing w:before="0"/>
      <w:ind w:left="1701" w:right="710" w:hanging="981"/>
    </w:pPr>
    <w:rPr>
      <w:rFonts w:eastAsia="Times New Roman"/>
      <w:noProof/>
    </w:rPr>
  </w:style>
  <w:style w:type="paragraph" w:styleId="TDC5">
    <w:name w:val="toc 5"/>
    <w:basedOn w:val="Normal"/>
    <w:next w:val="Normal"/>
    <w:autoRedefine/>
    <w:semiHidden/>
    <w:pPr>
      <w:widowControl/>
      <w:tabs>
        <w:tab w:val="left" w:pos="1985"/>
        <w:tab w:val="right" w:leader="dot" w:pos="8647"/>
      </w:tabs>
      <w:spacing w:before="80"/>
      <w:ind w:left="2552" w:right="710" w:hanging="1592"/>
    </w:pPr>
    <w:rPr>
      <w:rFonts w:eastAsia="Times New Roman"/>
      <w:noProof/>
    </w:rPr>
  </w:style>
  <w:style w:type="paragraph" w:styleId="Piedepgina">
    <w:name w:val="footer"/>
    <w:basedOn w:val="Normal"/>
    <w:pPr>
      <w:tabs>
        <w:tab w:val="center" w:pos="4153"/>
        <w:tab w:val="right" w:pos="8306"/>
      </w:tabs>
    </w:pPr>
  </w:style>
  <w:style w:type="character" w:styleId="Nmerodepgina">
    <w:name w:val="page number"/>
    <w:basedOn w:val="Fuentedeprrafopredete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paragraph" w:styleId="NormalWeb">
    <w:name w:val="Normal (Web)"/>
    <w:basedOn w:val="Normal"/>
    <w:pPr>
      <w:widowControl/>
    </w:pPr>
    <w:rPr>
      <w:rFonts w:ascii="Arial Narrow" w:eastAsia="Arial Unicode MS" w:hAnsi="Arial Narrow"/>
      <w:color w:val="800080"/>
      <w:lang w:val="es-ES"/>
    </w:rPr>
  </w:style>
  <w:style w:type="paragraph" w:customStyle="1" w:styleId="heading0">
    <w:name w:val="heading 0"/>
    <w:basedOn w:val="Ttulo1"/>
    <w:pPr>
      <w:numPr>
        <w:numId w:val="1"/>
      </w:numPr>
      <w:spacing w:before="800" w:after="200" w:line="320" w:lineRule="atLeast"/>
      <w:ind w:left="720" w:hanging="720"/>
      <w:jc w:val="right"/>
    </w:pPr>
    <w:rPr>
      <w:rFonts w:ascii="Geneva" w:hAnsi="Geneva"/>
      <w:smallCaps w:val="0"/>
      <w:sz w:val="36"/>
      <w:u w:val="none"/>
    </w:rPr>
  </w:style>
  <w:style w:type="paragraph" w:styleId="Textodecuerpo">
    <w:name w:val="Body Text"/>
    <w:basedOn w:val="Normal"/>
    <w:link w:val="TextodecuerpoCar"/>
    <w:pPr>
      <w:pBdr>
        <w:top w:val="single" w:sz="4" w:space="1" w:color="auto"/>
        <w:left w:val="single" w:sz="4" w:space="4" w:color="auto"/>
        <w:bottom w:val="single" w:sz="4" w:space="1" w:color="auto"/>
        <w:right w:val="single" w:sz="4" w:space="4" w:color="auto"/>
      </w:pBdr>
      <w:jc w:val="center"/>
    </w:pPr>
  </w:style>
  <w:style w:type="paragraph" w:styleId="Sangradetdecuerpo">
    <w:name w:val="Body Text Indent"/>
    <w:basedOn w:val="Normal"/>
    <w:link w:val="SangradetdecuerpoCar"/>
    <w:pPr>
      <w:ind w:left="709"/>
    </w:pPr>
  </w:style>
  <w:style w:type="paragraph" w:styleId="Textonotapie">
    <w:name w:val="footnote text"/>
    <w:basedOn w:val="Normal"/>
    <w:semiHidden/>
    <w:rsid w:val="007C1927"/>
    <w:rPr>
      <w:sz w:val="16"/>
      <w:szCs w:val="16"/>
      <w:lang w:val="es-ES"/>
    </w:rPr>
  </w:style>
  <w:style w:type="character" w:styleId="Refdenotaalpie">
    <w:name w:val="footnote reference"/>
    <w:basedOn w:val="Fuentedeprrafopredeter"/>
    <w:semiHidden/>
    <w:rsid w:val="007C1927"/>
    <w:rPr>
      <w:vertAlign w:val="superscript"/>
    </w:rPr>
  </w:style>
  <w:style w:type="table" w:styleId="Tablaconcuadrcula">
    <w:name w:val="Table Grid"/>
    <w:basedOn w:val="Tablanormal"/>
    <w:rsid w:val="00B814DA"/>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qFormat/>
    <w:rsid w:val="00765525"/>
    <w:pPr>
      <w:spacing w:before="240" w:after="60"/>
      <w:jc w:val="right"/>
      <w:outlineLvl w:val="0"/>
    </w:pPr>
    <w:rPr>
      <w:rFonts w:cs="Arial"/>
      <w:b/>
      <w:bCs/>
      <w:kern w:val="28"/>
      <w:sz w:val="32"/>
      <w:szCs w:val="32"/>
    </w:rPr>
  </w:style>
  <w:style w:type="paragraph" w:customStyle="1" w:styleId="xl24">
    <w:name w:val="xl24"/>
    <w:basedOn w:val="Normal"/>
    <w:rsid w:val="00B422E0"/>
    <w:pPr>
      <w:widowControl/>
      <w:spacing w:before="100" w:beforeAutospacing="1" w:after="100" w:afterAutospacing="1"/>
      <w:jc w:val="center"/>
    </w:pPr>
    <w:rPr>
      <w:rFonts w:ascii="Times" w:eastAsia="Times New Roman" w:hAnsi="Times"/>
      <w:lang w:eastAsia="es-ES_tradnl"/>
    </w:rPr>
  </w:style>
  <w:style w:type="paragraph" w:customStyle="1" w:styleId="xl29">
    <w:name w:val="xl29"/>
    <w:basedOn w:val="Normal"/>
    <w:rsid w:val="00B422E0"/>
    <w:pPr>
      <w:widowControl/>
      <w:spacing w:before="100" w:beforeAutospacing="1" w:after="100" w:afterAutospacing="1"/>
      <w:jc w:val="left"/>
    </w:pPr>
    <w:rPr>
      <w:rFonts w:ascii="Times" w:eastAsia="Times New Roman" w:hAnsi="Times"/>
      <w:lang w:eastAsia="es-ES_tradnl"/>
    </w:rPr>
  </w:style>
  <w:style w:type="paragraph" w:styleId="Textodecuerpo2">
    <w:name w:val="Body Text 2"/>
    <w:basedOn w:val="Normal"/>
    <w:rsid w:val="00B422E0"/>
    <w:pPr>
      <w:jc w:val="center"/>
    </w:pPr>
    <w:rPr>
      <w:sz w:val="16"/>
    </w:rPr>
  </w:style>
  <w:style w:type="paragraph" w:styleId="Sangra2detdecuerpo">
    <w:name w:val="Body Text Indent 2"/>
    <w:basedOn w:val="Normal"/>
    <w:rsid w:val="00B422E0"/>
    <w:pPr>
      <w:ind w:left="709" w:hanging="709"/>
    </w:pPr>
  </w:style>
  <w:style w:type="paragraph" w:styleId="Sangra3detdecuerpo">
    <w:name w:val="Body Text Indent 3"/>
    <w:basedOn w:val="Normal"/>
    <w:rsid w:val="00B422E0"/>
    <w:pPr>
      <w:ind w:left="709" w:hanging="709"/>
    </w:pPr>
    <w:rPr>
      <w:color w:val="FF0000"/>
      <w:lang w:val="es-ES"/>
    </w:rPr>
  </w:style>
  <w:style w:type="paragraph" w:styleId="Mapadeldocumento">
    <w:name w:val="Document Map"/>
    <w:basedOn w:val="Normal"/>
    <w:semiHidden/>
    <w:rsid w:val="0026247B"/>
    <w:pPr>
      <w:shd w:val="clear" w:color="auto" w:fill="C6D5EC"/>
    </w:pPr>
    <w:rPr>
      <w:rFonts w:ascii="Lucida Grande" w:hAnsi="Lucida Grande"/>
      <w:sz w:val="24"/>
      <w:szCs w:val="24"/>
    </w:rPr>
  </w:style>
  <w:style w:type="paragraph" w:customStyle="1" w:styleId="Notaalpie">
    <w:name w:val="Nota al pie"/>
    <w:basedOn w:val="Normal"/>
    <w:rsid w:val="003958F1"/>
    <w:rPr>
      <w:sz w:val="16"/>
      <w:szCs w:val="16"/>
    </w:rPr>
  </w:style>
  <w:style w:type="character" w:styleId="Refdecomentario">
    <w:name w:val="annotation reference"/>
    <w:basedOn w:val="Fuentedeprrafopredeter"/>
    <w:semiHidden/>
    <w:rsid w:val="00D736E5"/>
    <w:rPr>
      <w:sz w:val="18"/>
    </w:rPr>
  </w:style>
  <w:style w:type="paragraph" w:styleId="Textocomentario">
    <w:name w:val="annotation text"/>
    <w:basedOn w:val="Normal"/>
    <w:semiHidden/>
    <w:rsid w:val="00D736E5"/>
    <w:rPr>
      <w:sz w:val="24"/>
      <w:szCs w:val="24"/>
    </w:rPr>
  </w:style>
  <w:style w:type="paragraph" w:styleId="Asuntodelcomentario">
    <w:name w:val="annotation subject"/>
    <w:basedOn w:val="Textocomentario"/>
    <w:next w:val="Textocomentario"/>
    <w:semiHidden/>
    <w:rsid w:val="00D736E5"/>
    <w:rPr>
      <w:sz w:val="22"/>
      <w:szCs w:val="20"/>
    </w:rPr>
  </w:style>
  <w:style w:type="paragraph" w:styleId="Textodeglobo">
    <w:name w:val="Balloon Text"/>
    <w:basedOn w:val="Normal"/>
    <w:semiHidden/>
    <w:rsid w:val="00D736E5"/>
    <w:rPr>
      <w:rFonts w:ascii="Lucida Grande" w:hAnsi="Lucida Grande"/>
      <w:sz w:val="18"/>
      <w:szCs w:val="18"/>
    </w:rPr>
  </w:style>
  <w:style w:type="paragraph" w:customStyle="1" w:styleId="MTDisplayEquation">
    <w:name w:val="MTDisplayEquation"/>
    <w:basedOn w:val="Normal"/>
    <w:next w:val="Normal"/>
    <w:rsid w:val="00C74598"/>
    <w:pPr>
      <w:tabs>
        <w:tab w:val="center" w:pos="4200"/>
        <w:tab w:val="right" w:pos="8420"/>
      </w:tabs>
      <w:spacing w:before="0" w:after="120" w:line="320" w:lineRule="atLeast"/>
    </w:pPr>
    <w:rPr>
      <w:rFonts w:ascii="Palatino" w:eastAsia="Times New Roman" w:hAnsi="Palatino"/>
      <w:sz w:val="24"/>
      <w:lang w:eastAsia="es-ES_tradnl"/>
    </w:rPr>
  </w:style>
  <w:style w:type="paragraph" w:customStyle="1" w:styleId="Figura">
    <w:name w:val="Figura"/>
    <w:basedOn w:val="Normal"/>
    <w:next w:val="Normal"/>
    <w:rsid w:val="00C74598"/>
    <w:pPr>
      <w:keepNext/>
      <w:widowControl/>
      <w:tabs>
        <w:tab w:val="center" w:pos="4660"/>
        <w:tab w:val="right" w:pos="8460"/>
      </w:tabs>
      <w:spacing w:before="0"/>
      <w:jc w:val="center"/>
    </w:pPr>
    <w:rPr>
      <w:rFonts w:ascii="Palatino" w:eastAsia="Times New Roman" w:hAnsi="Palatino"/>
      <w:sz w:val="24"/>
      <w:lang w:eastAsia="es-ES_tradnl"/>
    </w:rPr>
  </w:style>
  <w:style w:type="paragraph" w:customStyle="1" w:styleId="Piedefigura">
    <w:name w:val="Pie de figura"/>
    <w:basedOn w:val="Normal"/>
    <w:next w:val="Normal"/>
    <w:rsid w:val="00C74598"/>
    <w:pPr>
      <w:keepLines/>
      <w:widowControl/>
      <w:tabs>
        <w:tab w:val="center" w:pos="4660"/>
      </w:tabs>
      <w:spacing w:before="0" w:after="300" w:line="260" w:lineRule="atLeast"/>
      <w:ind w:left="1418" w:right="1418"/>
      <w:jc w:val="center"/>
    </w:pPr>
    <w:rPr>
      <w:rFonts w:ascii="Palatino" w:eastAsia="Times New Roman" w:hAnsi="Palatino"/>
      <w:sz w:val="20"/>
      <w:lang w:eastAsia="es-ES_tradnl"/>
    </w:rPr>
  </w:style>
  <w:style w:type="paragraph" w:customStyle="1" w:styleId="Textodecuerpo21">
    <w:name w:val="Texto de cuerpo 21"/>
    <w:basedOn w:val="Normal"/>
    <w:rsid w:val="003B7484"/>
    <w:pPr>
      <w:widowControl/>
      <w:spacing w:before="0" w:line="360" w:lineRule="auto"/>
    </w:pPr>
    <w:rPr>
      <w:rFonts w:ascii="Helvetica" w:eastAsia="Times New Roman" w:hAnsi="Helvetica"/>
      <w:sz w:val="24"/>
      <w:lang w:eastAsia="es-ES_tradnl"/>
    </w:rPr>
  </w:style>
  <w:style w:type="paragraph" w:customStyle="1" w:styleId="ArtculoRBTITC">
    <w:name w:val="Artículo RBT/ITC"/>
    <w:basedOn w:val="Normal"/>
    <w:rsid w:val="00BD6A5D"/>
    <w:pPr>
      <w:autoSpaceDE w:val="0"/>
      <w:autoSpaceDN w:val="0"/>
      <w:adjustRightInd w:val="0"/>
      <w:ind w:left="709"/>
    </w:pPr>
    <w:rPr>
      <w:rFonts w:ascii="ArialMT" w:hAnsi="ArialMT" w:cs="ArialMT"/>
      <w:sz w:val="18"/>
      <w:szCs w:val="18"/>
      <w:lang w:bidi="es-ES_tradnl"/>
    </w:rPr>
  </w:style>
  <w:style w:type="paragraph" w:customStyle="1" w:styleId="Titulo1">
    <w:name w:val="Titulo 1"/>
    <w:basedOn w:val="Normal"/>
    <w:rsid w:val="00631568"/>
    <w:rPr>
      <w:lang w:bidi="es-ES_tradnl"/>
    </w:rPr>
  </w:style>
  <w:style w:type="character" w:customStyle="1" w:styleId="TextodecuerpoCar">
    <w:name w:val="Texto de cuerpo Car"/>
    <w:basedOn w:val="Fuentedeprrafopredeter"/>
    <w:link w:val="Textodecuerpo"/>
    <w:rsid w:val="00631568"/>
    <w:rPr>
      <w:rFonts w:ascii="Helvetica Neue Light" w:hAnsi="Helvetica Neue Light"/>
      <w:sz w:val="22"/>
      <w:lang w:val="es-ES_tradnl"/>
    </w:rPr>
  </w:style>
  <w:style w:type="character" w:customStyle="1" w:styleId="SangradetdecuerpoCar">
    <w:name w:val="Sangría de t. de cuerpo Car"/>
    <w:basedOn w:val="Fuentedeprrafopredeter"/>
    <w:link w:val="Sangradetdecuerpo"/>
    <w:rsid w:val="00631568"/>
    <w:rPr>
      <w:rFonts w:ascii="Helvetica Neue Light" w:hAnsi="Helvetica Neue Light"/>
      <w:sz w:val="22"/>
      <w:lang w:val="es-ES_tradnl"/>
    </w:rPr>
  </w:style>
  <w:style w:type="paragraph" w:styleId="Prrafodelista">
    <w:name w:val="List Paragraph"/>
    <w:basedOn w:val="Normal"/>
    <w:uiPriority w:val="34"/>
    <w:qFormat/>
    <w:rsid w:val="00834356"/>
    <w:pPr>
      <w:ind w:left="720"/>
      <w:contextualSpacing/>
    </w:pPr>
  </w:style>
  <w:style w:type="character" w:customStyle="1" w:styleId="MTConvertedEquation">
    <w:name w:val="MTConvertedEquation"/>
    <w:basedOn w:val="Fuentedeprrafopredeter"/>
    <w:rsid w:val="004E5E03"/>
    <w:rPr>
      <w:position w:val="-1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E80"/>
    <w:pPr>
      <w:widowControl w:val="0"/>
      <w:spacing w:before="120"/>
      <w:jc w:val="both"/>
    </w:pPr>
    <w:rPr>
      <w:rFonts w:ascii="Helvetica Neue Light" w:hAnsi="Helvetica Neue Light"/>
      <w:sz w:val="22"/>
      <w:lang w:val="es-ES_tradnl"/>
    </w:rPr>
  </w:style>
  <w:style w:type="paragraph" w:styleId="Ttulo1">
    <w:name w:val="heading 1"/>
    <w:aliases w:val="MAY"/>
    <w:basedOn w:val="Normal"/>
    <w:next w:val="Normal"/>
    <w:qFormat/>
    <w:pPr>
      <w:keepNext/>
      <w:keepLines/>
      <w:widowControl/>
      <w:numPr>
        <w:numId w:val="2"/>
      </w:numPr>
      <w:spacing w:before="720"/>
      <w:outlineLvl w:val="0"/>
    </w:pPr>
    <w:rPr>
      <w:rFonts w:eastAsia="Times New Roman"/>
      <w:b/>
      <w:smallCaps/>
      <w:u w:val="single"/>
      <w:lang w:val="es-ES"/>
    </w:rPr>
  </w:style>
  <w:style w:type="paragraph" w:styleId="Ttulo2">
    <w:name w:val="heading 2"/>
    <w:basedOn w:val="Ttulo1"/>
    <w:next w:val="Normal"/>
    <w:qFormat/>
    <w:rsid w:val="00BD6A5D"/>
    <w:pPr>
      <w:numPr>
        <w:ilvl w:val="1"/>
      </w:numPr>
      <w:spacing w:before="480"/>
      <w:outlineLvl w:val="1"/>
    </w:pPr>
    <w:rPr>
      <w:smallCaps w:val="0"/>
      <w:u w:val="none"/>
    </w:rPr>
  </w:style>
  <w:style w:type="paragraph" w:styleId="Ttulo3">
    <w:name w:val="heading 3"/>
    <w:basedOn w:val="Ttulo1"/>
    <w:next w:val="Normal"/>
    <w:qFormat/>
    <w:rsid w:val="00580CEB"/>
    <w:pPr>
      <w:numPr>
        <w:ilvl w:val="2"/>
      </w:numPr>
      <w:spacing w:before="400"/>
      <w:outlineLvl w:val="2"/>
    </w:pPr>
    <w:rPr>
      <w:b w:val="0"/>
      <w:smallCaps w:val="0"/>
    </w:rPr>
  </w:style>
  <w:style w:type="paragraph" w:styleId="Ttulo4">
    <w:name w:val="heading 4"/>
    <w:basedOn w:val="Normal"/>
    <w:next w:val="Normal"/>
    <w:qFormat/>
    <w:rsid w:val="00414D85"/>
    <w:pPr>
      <w:widowControl/>
      <w:numPr>
        <w:ilvl w:val="3"/>
        <w:numId w:val="2"/>
      </w:numPr>
      <w:spacing w:before="240"/>
      <w:outlineLvl w:val="3"/>
    </w:pPr>
    <w:rPr>
      <w:rFonts w:eastAsia="Times New Roman"/>
      <w:i/>
      <w:lang w:val="es-ES"/>
    </w:rPr>
  </w:style>
  <w:style w:type="paragraph" w:styleId="Ttulo5">
    <w:name w:val="heading 5"/>
    <w:basedOn w:val="Normal"/>
    <w:next w:val="Normal"/>
    <w:qFormat/>
    <w:pPr>
      <w:widowControl/>
      <w:numPr>
        <w:ilvl w:val="4"/>
        <w:numId w:val="2"/>
      </w:numPr>
      <w:spacing w:before="240"/>
      <w:outlineLvl w:val="4"/>
    </w:pPr>
    <w:rPr>
      <w:rFonts w:ascii="Arial" w:eastAsia="Times New Roman" w:hAnsi="Arial"/>
      <w:sz w:val="20"/>
      <w:u w:val="single"/>
      <w:lang w:val="es-ES"/>
    </w:rPr>
  </w:style>
  <w:style w:type="paragraph" w:styleId="Ttulo6">
    <w:name w:val="heading 6"/>
    <w:basedOn w:val="Normal"/>
    <w:next w:val="Normal"/>
    <w:qFormat/>
    <w:pPr>
      <w:widowControl/>
      <w:numPr>
        <w:ilvl w:val="5"/>
        <w:numId w:val="2"/>
      </w:numPr>
      <w:spacing w:before="240" w:after="60"/>
      <w:outlineLvl w:val="5"/>
    </w:pPr>
    <w:rPr>
      <w:rFonts w:ascii="Times" w:eastAsia="Times New Roman" w:hAnsi="Times"/>
      <w:i/>
      <w:sz w:val="20"/>
      <w:lang w:val="es-ES"/>
    </w:rPr>
  </w:style>
  <w:style w:type="paragraph" w:styleId="Ttulo7">
    <w:name w:val="heading 7"/>
    <w:basedOn w:val="Normal"/>
    <w:next w:val="Normal"/>
    <w:qFormat/>
    <w:pPr>
      <w:widowControl/>
      <w:numPr>
        <w:ilvl w:val="6"/>
        <w:numId w:val="2"/>
      </w:numPr>
      <w:spacing w:before="240" w:after="60"/>
      <w:outlineLvl w:val="6"/>
    </w:pPr>
    <w:rPr>
      <w:rFonts w:ascii="Helvetica" w:eastAsia="Times New Roman" w:hAnsi="Helvetica"/>
      <w:sz w:val="20"/>
      <w:lang w:val="es-ES"/>
    </w:rPr>
  </w:style>
  <w:style w:type="paragraph" w:styleId="Ttulo8">
    <w:name w:val="heading 8"/>
    <w:basedOn w:val="Normal"/>
    <w:next w:val="Normal"/>
    <w:qFormat/>
    <w:pPr>
      <w:widowControl/>
      <w:numPr>
        <w:ilvl w:val="7"/>
        <w:numId w:val="2"/>
      </w:numPr>
      <w:spacing w:before="240" w:after="60"/>
      <w:outlineLvl w:val="7"/>
    </w:pPr>
    <w:rPr>
      <w:rFonts w:ascii="Helvetica" w:eastAsia="Times New Roman" w:hAnsi="Helvetica"/>
      <w:i/>
      <w:sz w:val="20"/>
      <w:lang w:val="es-ES"/>
    </w:rPr>
  </w:style>
  <w:style w:type="paragraph" w:styleId="Ttulo9">
    <w:name w:val="heading 9"/>
    <w:basedOn w:val="Normal"/>
    <w:next w:val="Normal"/>
    <w:qFormat/>
    <w:pPr>
      <w:widowControl/>
      <w:numPr>
        <w:ilvl w:val="8"/>
        <w:numId w:val="2"/>
      </w:numPr>
      <w:spacing w:before="240" w:after="60"/>
      <w:outlineLvl w:val="8"/>
    </w:pPr>
    <w:rPr>
      <w:rFonts w:ascii="Helvetica" w:eastAsia="Times New Roman" w:hAnsi="Helvetica"/>
      <w:b/>
      <w:i/>
      <w:sz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widowControl/>
      <w:tabs>
        <w:tab w:val="right" w:pos="8860"/>
      </w:tabs>
      <w:spacing w:before="60" w:line="360" w:lineRule="atLeast"/>
    </w:pPr>
    <w:rPr>
      <w:rFonts w:ascii="Palatino" w:eastAsia="Times New Roman" w:hAnsi="Palatino"/>
      <w:sz w:val="20"/>
      <w:lang w:val="es-ES"/>
    </w:rPr>
  </w:style>
  <w:style w:type="paragraph" w:styleId="TDC1">
    <w:name w:val="toc 1"/>
    <w:basedOn w:val="Normal"/>
    <w:next w:val="Normal"/>
    <w:autoRedefine/>
    <w:uiPriority w:val="39"/>
    <w:rsid w:val="00705032"/>
    <w:pPr>
      <w:widowControl/>
      <w:tabs>
        <w:tab w:val="left" w:pos="567"/>
        <w:tab w:val="right" w:leader="dot" w:pos="8222"/>
      </w:tabs>
      <w:ind w:left="567" w:right="709" w:hanging="567"/>
      <w:jc w:val="left"/>
    </w:pPr>
    <w:rPr>
      <w:rFonts w:eastAsia="Times New Roman"/>
      <w:b/>
      <w:noProof/>
    </w:rPr>
  </w:style>
  <w:style w:type="paragraph" w:styleId="TDC2">
    <w:name w:val="toc 2"/>
    <w:basedOn w:val="Normal"/>
    <w:next w:val="Normal"/>
    <w:autoRedefine/>
    <w:uiPriority w:val="39"/>
    <w:rsid w:val="00D71E47"/>
    <w:pPr>
      <w:widowControl/>
      <w:tabs>
        <w:tab w:val="left" w:pos="784"/>
        <w:tab w:val="right" w:leader="dot" w:pos="8222"/>
      </w:tabs>
      <w:spacing w:before="60"/>
      <w:ind w:left="850" w:right="1134" w:hanging="612"/>
    </w:pPr>
    <w:rPr>
      <w:rFonts w:eastAsia="Times New Roman"/>
      <w:noProof/>
    </w:rPr>
  </w:style>
  <w:style w:type="paragraph" w:styleId="TDC3">
    <w:name w:val="toc 3"/>
    <w:basedOn w:val="Normal"/>
    <w:next w:val="Normal"/>
    <w:autoRedefine/>
    <w:uiPriority w:val="39"/>
    <w:rsid w:val="000E250A"/>
    <w:pPr>
      <w:widowControl/>
      <w:tabs>
        <w:tab w:val="left" w:pos="1418"/>
        <w:tab w:val="right" w:leader="dot" w:pos="8222"/>
      </w:tabs>
      <w:spacing w:before="0"/>
      <w:ind w:left="1418" w:right="710" w:hanging="938"/>
    </w:pPr>
    <w:rPr>
      <w:rFonts w:eastAsia="Times New Roman"/>
      <w:noProof/>
    </w:rPr>
  </w:style>
  <w:style w:type="paragraph" w:styleId="TDC4">
    <w:name w:val="toc 4"/>
    <w:basedOn w:val="Normal"/>
    <w:next w:val="Normal"/>
    <w:autoRedefine/>
    <w:semiHidden/>
    <w:rsid w:val="000E250A"/>
    <w:pPr>
      <w:widowControl/>
      <w:tabs>
        <w:tab w:val="right" w:leader="dot" w:pos="8222"/>
      </w:tabs>
      <w:spacing w:before="0"/>
      <w:ind w:left="1701" w:right="710" w:hanging="981"/>
    </w:pPr>
    <w:rPr>
      <w:rFonts w:eastAsia="Times New Roman"/>
      <w:noProof/>
    </w:rPr>
  </w:style>
  <w:style w:type="paragraph" w:styleId="TDC5">
    <w:name w:val="toc 5"/>
    <w:basedOn w:val="Normal"/>
    <w:next w:val="Normal"/>
    <w:autoRedefine/>
    <w:semiHidden/>
    <w:pPr>
      <w:widowControl/>
      <w:tabs>
        <w:tab w:val="left" w:pos="1985"/>
        <w:tab w:val="right" w:leader="dot" w:pos="8647"/>
      </w:tabs>
      <w:spacing w:before="80"/>
      <w:ind w:left="2552" w:right="710" w:hanging="1592"/>
    </w:pPr>
    <w:rPr>
      <w:rFonts w:eastAsia="Times New Roman"/>
      <w:noProof/>
    </w:rPr>
  </w:style>
  <w:style w:type="paragraph" w:styleId="Piedepgina">
    <w:name w:val="footer"/>
    <w:basedOn w:val="Normal"/>
    <w:pPr>
      <w:tabs>
        <w:tab w:val="center" w:pos="4153"/>
        <w:tab w:val="right" w:pos="8306"/>
      </w:tabs>
    </w:pPr>
  </w:style>
  <w:style w:type="character" w:styleId="Nmerodepgina">
    <w:name w:val="page number"/>
    <w:basedOn w:val="Fuentedeprrafopredete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paragraph" w:styleId="NormalWeb">
    <w:name w:val="Normal (Web)"/>
    <w:basedOn w:val="Normal"/>
    <w:pPr>
      <w:widowControl/>
    </w:pPr>
    <w:rPr>
      <w:rFonts w:ascii="Arial Narrow" w:eastAsia="Arial Unicode MS" w:hAnsi="Arial Narrow"/>
      <w:color w:val="800080"/>
      <w:lang w:val="es-ES"/>
    </w:rPr>
  </w:style>
  <w:style w:type="paragraph" w:customStyle="1" w:styleId="heading0">
    <w:name w:val="heading 0"/>
    <w:basedOn w:val="Ttulo1"/>
    <w:pPr>
      <w:numPr>
        <w:numId w:val="1"/>
      </w:numPr>
      <w:spacing w:before="800" w:after="200" w:line="320" w:lineRule="atLeast"/>
      <w:ind w:left="720" w:hanging="720"/>
      <w:jc w:val="right"/>
    </w:pPr>
    <w:rPr>
      <w:rFonts w:ascii="Geneva" w:hAnsi="Geneva"/>
      <w:smallCaps w:val="0"/>
      <w:sz w:val="36"/>
      <w:u w:val="none"/>
    </w:rPr>
  </w:style>
  <w:style w:type="paragraph" w:styleId="Textodecuerpo">
    <w:name w:val="Body Text"/>
    <w:basedOn w:val="Normal"/>
    <w:link w:val="TextodecuerpoCar"/>
    <w:pPr>
      <w:pBdr>
        <w:top w:val="single" w:sz="4" w:space="1" w:color="auto"/>
        <w:left w:val="single" w:sz="4" w:space="4" w:color="auto"/>
        <w:bottom w:val="single" w:sz="4" w:space="1" w:color="auto"/>
        <w:right w:val="single" w:sz="4" w:space="4" w:color="auto"/>
      </w:pBdr>
      <w:jc w:val="center"/>
    </w:pPr>
  </w:style>
  <w:style w:type="paragraph" w:styleId="Sangradetdecuerpo">
    <w:name w:val="Body Text Indent"/>
    <w:basedOn w:val="Normal"/>
    <w:link w:val="SangradetdecuerpoCar"/>
    <w:pPr>
      <w:ind w:left="709"/>
    </w:pPr>
  </w:style>
  <w:style w:type="paragraph" w:styleId="Textonotapie">
    <w:name w:val="footnote text"/>
    <w:basedOn w:val="Normal"/>
    <w:semiHidden/>
    <w:rsid w:val="007C1927"/>
    <w:rPr>
      <w:sz w:val="16"/>
      <w:szCs w:val="16"/>
      <w:lang w:val="es-ES"/>
    </w:rPr>
  </w:style>
  <w:style w:type="character" w:styleId="Refdenotaalpie">
    <w:name w:val="footnote reference"/>
    <w:basedOn w:val="Fuentedeprrafopredeter"/>
    <w:semiHidden/>
    <w:rsid w:val="007C1927"/>
    <w:rPr>
      <w:vertAlign w:val="superscript"/>
    </w:rPr>
  </w:style>
  <w:style w:type="table" w:styleId="Tablaconcuadrcula">
    <w:name w:val="Table Grid"/>
    <w:basedOn w:val="Tablanormal"/>
    <w:rsid w:val="00B814DA"/>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qFormat/>
    <w:rsid w:val="00765525"/>
    <w:pPr>
      <w:spacing w:before="240" w:after="60"/>
      <w:jc w:val="right"/>
      <w:outlineLvl w:val="0"/>
    </w:pPr>
    <w:rPr>
      <w:rFonts w:cs="Arial"/>
      <w:b/>
      <w:bCs/>
      <w:kern w:val="28"/>
      <w:sz w:val="32"/>
      <w:szCs w:val="32"/>
    </w:rPr>
  </w:style>
  <w:style w:type="paragraph" w:customStyle="1" w:styleId="xl24">
    <w:name w:val="xl24"/>
    <w:basedOn w:val="Normal"/>
    <w:rsid w:val="00B422E0"/>
    <w:pPr>
      <w:widowControl/>
      <w:spacing w:before="100" w:beforeAutospacing="1" w:after="100" w:afterAutospacing="1"/>
      <w:jc w:val="center"/>
    </w:pPr>
    <w:rPr>
      <w:rFonts w:ascii="Times" w:eastAsia="Times New Roman" w:hAnsi="Times"/>
      <w:lang w:eastAsia="es-ES_tradnl"/>
    </w:rPr>
  </w:style>
  <w:style w:type="paragraph" w:customStyle="1" w:styleId="xl29">
    <w:name w:val="xl29"/>
    <w:basedOn w:val="Normal"/>
    <w:rsid w:val="00B422E0"/>
    <w:pPr>
      <w:widowControl/>
      <w:spacing w:before="100" w:beforeAutospacing="1" w:after="100" w:afterAutospacing="1"/>
      <w:jc w:val="left"/>
    </w:pPr>
    <w:rPr>
      <w:rFonts w:ascii="Times" w:eastAsia="Times New Roman" w:hAnsi="Times"/>
      <w:lang w:eastAsia="es-ES_tradnl"/>
    </w:rPr>
  </w:style>
  <w:style w:type="paragraph" w:styleId="Textodecuerpo2">
    <w:name w:val="Body Text 2"/>
    <w:basedOn w:val="Normal"/>
    <w:rsid w:val="00B422E0"/>
    <w:pPr>
      <w:jc w:val="center"/>
    </w:pPr>
    <w:rPr>
      <w:sz w:val="16"/>
    </w:rPr>
  </w:style>
  <w:style w:type="paragraph" w:styleId="Sangra2detdecuerpo">
    <w:name w:val="Body Text Indent 2"/>
    <w:basedOn w:val="Normal"/>
    <w:rsid w:val="00B422E0"/>
    <w:pPr>
      <w:ind w:left="709" w:hanging="709"/>
    </w:pPr>
  </w:style>
  <w:style w:type="paragraph" w:styleId="Sangra3detdecuerpo">
    <w:name w:val="Body Text Indent 3"/>
    <w:basedOn w:val="Normal"/>
    <w:rsid w:val="00B422E0"/>
    <w:pPr>
      <w:ind w:left="709" w:hanging="709"/>
    </w:pPr>
    <w:rPr>
      <w:color w:val="FF0000"/>
      <w:lang w:val="es-ES"/>
    </w:rPr>
  </w:style>
  <w:style w:type="paragraph" w:styleId="Mapadeldocumento">
    <w:name w:val="Document Map"/>
    <w:basedOn w:val="Normal"/>
    <w:semiHidden/>
    <w:rsid w:val="0026247B"/>
    <w:pPr>
      <w:shd w:val="clear" w:color="auto" w:fill="C6D5EC"/>
    </w:pPr>
    <w:rPr>
      <w:rFonts w:ascii="Lucida Grande" w:hAnsi="Lucida Grande"/>
      <w:sz w:val="24"/>
      <w:szCs w:val="24"/>
    </w:rPr>
  </w:style>
  <w:style w:type="paragraph" w:customStyle="1" w:styleId="Notaalpie">
    <w:name w:val="Nota al pie"/>
    <w:basedOn w:val="Normal"/>
    <w:rsid w:val="003958F1"/>
    <w:rPr>
      <w:sz w:val="16"/>
      <w:szCs w:val="16"/>
    </w:rPr>
  </w:style>
  <w:style w:type="character" w:styleId="Refdecomentario">
    <w:name w:val="annotation reference"/>
    <w:basedOn w:val="Fuentedeprrafopredeter"/>
    <w:semiHidden/>
    <w:rsid w:val="00D736E5"/>
    <w:rPr>
      <w:sz w:val="18"/>
    </w:rPr>
  </w:style>
  <w:style w:type="paragraph" w:styleId="Textocomentario">
    <w:name w:val="annotation text"/>
    <w:basedOn w:val="Normal"/>
    <w:semiHidden/>
    <w:rsid w:val="00D736E5"/>
    <w:rPr>
      <w:sz w:val="24"/>
      <w:szCs w:val="24"/>
    </w:rPr>
  </w:style>
  <w:style w:type="paragraph" w:styleId="Asuntodelcomentario">
    <w:name w:val="annotation subject"/>
    <w:basedOn w:val="Textocomentario"/>
    <w:next w:val="Textocomentario"/>
    <w:semiHidden/>
    <w:rsid w:val="00D736E5"/>
    <w:rPr>
      <w:sz w:val="22"/>
      <w:szCs w:val="20"/>
    </w:rPr>
  </w:style>
  <w:style w:type="paragraph" w:styleId="Textodeglobo">
    <w:name w:val="Balloon Text"/>
    <w:basedOn w:val="Normal"/>
    <w:semiHidden/>
    <w:rsid w:val="00D736E5"/>
    <w:rPr>
      <w:rFonts w:ascii="Lucida Grande" w:hAnsi="Lucida Grande"/>
      <w:sz w:val="18"/>
      <w:szCs w:val="18"/>
    </w:rPr>
  </w:style>
  <w:style w:type="paragraph" w:customStyle="1" w:styleId="MTDisplayEquation">
    <w:name w:val="MTDisplayEquation"/>
    <w:basedOn w:val="Normal"/>
    <w:next w:val="Normal"/>
    <w:rsid w:val="00C74598"/>
    <w:pPr>
      <w:tabs>
        <w:tab w:val="center" w:pos="4200"/>
        <w:tab w:val="right" w:pos="8420"/>
      </w:tabs>
      <w:spacing w:before="0" w:after="120" w:line="320" w:lineRule="atLeast"/>
    </w:pPr>
    <w:rPr>
      <w:rFonts w:ascii="Palatino" w:eastAsia="Times New Roman" w:hAnsi="Palatino"/>
      <w:sz w:val="24"/>
      <w:lang w:eastAsia="es-ES_tradnl"/>
    </w:rPr>
  </w:style>
  <w:style w:type="paragraph" w:customStyle="1" w:styleId="Figura">
    <w:name w:val="Figura"/>
    <w:basedOn w:val="Normal"/>
    <w:next w:val="Normal"/>
    <w:rsid w:val="00C74598"/>
    <w:pPr>
      <w:keepNext/>
      <w:widowControl/>
      <w:tabs>
        <w:tab w:val="center" w:pos="4660"/>
        <w:tab w:val="right" w:pos="8460"/>
      </w:tabs>
      <w:spacing w:before="0"/>
      <w:jc w:val="center"/>
    </w:pPr>
    <w:rPr>
      <w:rFonts w:ascii="Palatino" w:eastAsia="Times New Roman" w:hAnsi="Palatino"/>
      <w:sz w:val="24"/>
      <w:lang w:eastAsia="es-ES_tradnl"/>
    </w:rPr>
  </w:style>
  <w:style w:type="paragraph" w:customStyle="1" w:styleId="Piedefigura">
    <w:name w:val="Pie de figura"/>
    <w:basedOn w:val="Normal"/>
    <w:next w:val="Normal"/>
    <w:rsid w:val="00C74598"/>
    <w:pPr>
      <w:keepLines/>
      <w:widowControl/>
      <w:tabs>
        <w:tab w:val="center" w:pos="4660"/>
      </w:tabs>
      <w:spacing w:before="0" w:after="300" w:line="260" w:lineRule="atLeast"/>
      <w:ind w:left="1418" w:right="1418"/>
      <w:jc w:val="center"/>
    </w:pPr>
    <w:rPr>
      <w:rFonts w:ascii="Palatino" w:eastAsia="Times New Roman" w:hAnsi="Palatino"/>
      <w:sz w:val="20"/>
      <w:lang w:eastAsia="es-ES_tradnl"/>
    </w:rPr>
  </w:style>
  <w:style w:type="paragraph" w:customStyle="1" w:styleId="Textodecuerpo21">
    <w:name w:val="Texto de cuerpo 21"/>
    <w:basedOn w:val="Normal"/>
    <w:rsid w:val="003B7484"/>
    <w:pPr>
      <w:widowControl/>
      <w:spacing w:before="0" w:line="360" w:lineRule="auto"/>
    </w:pPr>
    <w:rPr>
      <w:rFonts w:ascii="Helvetica" w:eastAsia="Times New Roman" w:hAnsi="Helvetica"/>
      <w:sz w:val="24"/>
      <w:lang w:eastAsia="es-ES_tradnl"/>
    </w:rPr>
  </w:style>
  <w:style w:type="paragraph" w:customStyle="1" w:styleId="ArtculoRBTITC">
    <w:name w:val="Artículo RBT/ITC"/>
    <w:basedOn w:val="Normal"/>
    <w:rsid w:val="00BD6A5D"/>
    <w:pPr>
      <w:autoSpaceDE w:val="0"/>
      <w:autoSpaceDN w:val="0"/>
      <w:adjustRightInd w:val="0"/>
      <w:ind w:left="709"/>
    </w:pPr>
    <w:rPr>
      <w:rFonts w:ascii="ArialMT" w:hAnsi="ArialMT" w:cs="ArialMT"/>
      <w:sz w:val="18"/>
      <w:szCs w:val="18"/>
      <w:lang w:bidi="es-ES_tradnl"/>
    </w:rPr>
  </w:style>
  <w:style w:type="paragraph" w:customStyle="1" w:styleId="Titulo1">
    <w:name w:val="Titulo 1"/>
    <w:basedOn w:val="Normal"/>
    <w:rsid w:val="00631568"/>
    <w:rPr>
      <w:lang w:bidi="es-ES_tradnl"/>
    </w:rPr>
  </w:style>
  <w:style w:type="character" w:customStyle="1" w:styleId="TextodecuerpoCar">
    <w:name w:val="Texto de cuerpo Car"/>
    <w:basedOn w:val="Fuentedeprrafopredeter"/>
    <w:link w:val="Textodecuerpo"/>
    <w:rsid w:val="00631568"/>
    <w:rPr>
      <w:rFonts w:ascii="Helvetica Neue Light" w:hAnsi="Helvetica Neue Light"/>
      <w:sz w:val="22"/>
      <w:lang w:val="es-ES_tradnl"/>
    </w:rPr>
  </w:style>
  <w:style w:type="character" w:customStyle="1" w:styleId="SangradetdecuerpoCar">
    <w:name w:val="Sangría de t. de cuerpo Car"/>
    <w:basedOn w:val="Fuentedeprrafopredeter"/>
    <w:link w:val="Sangradetdecuerpo"/>
    <w:rsid w:val="00631568"/>
    <w:rPr>
      <w:rFonts w:ascii="Helvetica Neue Light" w:hAnsi="Helvetica Neue Light"/>
      <w:sz w:val="22"/>
      <w:lang w:val="es-ES_tradnl"/>
    </w:rPr>
  </w:style>
  <w:style w:type="paragraph" w:styleId="Prrafodelista">
    <w:name w:val="List Paragraph"/>
    <w:basedOn w:val="Normal"/>
    <w:uiPriority w:val="34"/>
    <w:qFormat/>
    <w:rsid w:val="00834356"/>
    <w:pPr>
      <w:ind w:left="720"/>
      <w:contextualSpacing/>
    </w:pPr>
  </w:style>
  <w:style w:type="character" w:customStyle="1" w:styleId="MTConvertedEquation">
    <w:name w:val="MTConvertedEquation"/>
    <w:basedOn w:val="Fuentedeprrafopredeter"/>
    <w:rsid w:val="004E5E03"/>
    <w:rPr>
      <w:position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8747">
      <w:bodyDiv w:val="1"/>
      <w:marLeft w:val="0"/>
      <w:marRight w:val="0"/>
      <w:marTop w:val="0"/>
      <w:marBottom w:val="0"/>
      <w:divBdr>
        <w:top w:val="none" w:sz="0" w:space="0" w:color="auto"/>
        <w:left w:val="none" w:sz="0" w:space="0" w:color="auto"/>
        <w:bottom w:val="none" w:sz="0" w:space="0" w:color="auto"/>
        <w:right w:val="none" w:sz="0" w:space="0" w:color="auto"/>
      </w:divBdr>
    </w:div>
    <w:div w:id="202251348">
      <w:bodyDiv w:val="1"/>
      <w:marLeft w:val="0"/>
      <w:marRight w:val="0"/>
      <w:marTop w:val="0"/>
      <w:marBottom w:val="0"/>
      <w:divBdr>
        <w:top w:val="none" w:sz="0" w:space="0" w:color="auto"/>
        <w:left w:val="none" w:sz="0" w:space="0" w:color="auto"/>
        <w:bottom w:val="none" w:sz="0" w:space="0" w:color="auto"/>
        <w:right w:val="none" w:sz="0" w:space="0" w:color="auto"/>
      </w:divBdr>
    </w:div>
    <w:div w:id="17974874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emf"/><Relationship Id="rId24" Type="http://schemas.openxmlformats.org/officeDocument/2006/relationships/oleObject" Target="embeddings/oleObject2.bin"/><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oleObject" Target="embeddings/oleObject1.bin"/><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header" Target="head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header" Target="header2.xml"/><Relationship Id="rId40" Type="http://schemas.openxmlformats.org/officeDocument/2006/relationships/fontTable" Target="fontTable.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19</Pages>
  <Words>3720</Words>
  <Characters>20460</Characters>
  <Application>Microsoft Macintosh Word</Application>
  <DocSecurity>0</DocSecurity>
  <Lines>170</Lines>
  <Paragraphs>48</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
      <vt:lpstr>INSTALACIONES ELÉCTRICAS ESPECIALES</vt:lpstr>
      <vt:lpstr>ASIGNATURA OPTATIVA DE 4º CURSO DEL GRADO EN INGENIERÍA ELÉCTRICA</vt:lpstr>
      <vt:lpstr>2. INSTALACIONES ELÉCTRICAS GENERALES</vt:lpstr>
      <vt:lpstr>Nociones de redes de distribución en baja tensión. Acometidas eléctricas</vt:lpstr>
      <vt:lpstr>Cajas generales de protección. Línea general de alimentación. Equipos de medida.</vt:lpstr>
      <vt:lpstr>Protección contra contactos directos e indirectos. Cálculo y diseño de cuadros d</vt:lpstr>
      <vt:lpstr>    Protección por corte automático de la alimentación</vt:lpstr>
      <vt:lpstr>        Contactos directos</vt:lpstr>
      <vt:lpstr>        Contactos indirectos</vt:lpstr>
      <vt:lpstr>    Diseño de protecciones eléctricas</vt:lpstr>
      <vt:lpstr>Nociones de cálculo de potencias y previsión de cargas</vt:lpstr>
      <vt:lpstr>    Previsión de cargas</vt:lpstr>
      <vt:lpstr>    La instrucción técnica ITC-BT 10</vt:lpstr>
      <vt:lpstr>Nociones de cálculo de conductores. Diseño de circuitos</vt:lpstr>
      <vt:lpstr>    Selección de conductores</vt:lpstr>
      <vt:lpstr>    Diseño de circuitos por verificación de secciones</vt:lpstr>
      <vt:lpstr>Receptores</vt:lpstr>
    </vt:vector>
  </TitlesOfParts>
  <Company>Time Limited</Company>
  <LinksUpToDate>false</LinksUpToDate>
  <CharactersWithSpaces>24132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STS Proyectos de ingeniería</dc:creator>
  <cp:keywords/>
  <cp:lastModifiedBy>NRM</cp:lastModifiedBy>
  <cp:revision>9</cp:revision>
  <cp:lastPrinted>2021-03-09T13:15:00Z</cp:lastPrinted>
  <dcterms:created xsi:type="dcterms:W3CDTF">2021-03-09T12:47:00Z</dcterms:created>
  <dcterms:modified xsi:type="dcterms:W3CDTF">2021-08-25T19:04:00Z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MacEqns">
    <vt:bool>true</vt:bool>
  </property>
</Properties>
</file>